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DE1475" w:rsidRPr="00DE1475" w14:paraId="331039C2" w14:textId="77777777" w:rsidTr="0050783A">
        <w:trPr>
          <w:jc w:val="center"/>
        </w:trPr>
        <w:tc>
          <w:tcPr>
            <w:tcW w:w="1850" w:type="dxa"/>
            <w:shd w:val="clear" w:color="auto" w:fill="auto"/>
          </w:tcPr>
          <w:p w14:paraId="5DC0F97B" w14:textId="77777777" w:rsidR="00DE1475" w:rsidRPr="00DE1475" w:rsidRDefault="00DE1475" w:rsidP="00DE1475">
            <w:pPr>
              <w:keepNext/>
              <w:keepLines/>
              <w:spacing w:before="0" w:after="0" w:line="240" w:lineRule="auto"/>
              <w:jc w:val="left"/>
              <w:rPr>
                <w:rFonts w:ascii="Times New Roman" w:eastAsia="Times New Roman" w:hAnsi="Times New Roman"/>
                <w:b/>
                <w:caps/>
                <w:sz w:val="28"/>
                <w:szCs w:val="24"/>
              </w:rPr>
            </w:pPr>
            <w:r w:rsidRPr="00DE1475">
              <w:rPr>
                <w:rFonts w:ascii="Times New Roman" w:eastAsia="Times New Roman" w:hAnsi="Times New Roman"/>
                <w:b/>
                <w:caps/>
                <w:noProof/>
                <w:sz w:val="28"/>
                <w:szCs w:val="24"/>
                <w:lang w:eastAsia="en-CA"/>
              </w:rPr>
              <w:drawing>
                <wp:inline distT="0" distB="0" distL="0" distR="0" wp14:anchorId="108487EB" wp14:editId="475EFDF0">
                  <wp:extent cx="1021080" cy="9525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noFill/>
                          <a:ln>
                            <a:noFill/>
                          </a:ln>
                        </pic:spPr>
                      </pic:pic>
                    </a:graphicData>
                  </a:graphic>
                </wp:inline>
              </w:drawing>
            </w:r>
          </w:p>
        </w:tc>
        <w:tc>
          <w:tcPr>
            <w:tcW w:w="5270" w:type="dxa"/>
            <w:shd w:val="clear" w:color="auto" w:fill="auto"/>
          </w:tcPr>
          <w:p w14:paraId="4F2FCFBB" w14:textId="77777777" w:rsidR="00DE1475" w:rsidRPr="00DE1475" w:rsidRDefault="00DE1475" w:rsidP="00DE1475">
            <w:pPr>
              <w:pBdr>
                <w:bottom w:val="single" w:sz="6" w:space="1" w:color="auto"/>
              </w:pBdr>
              <w:spacing w:before="0" w:after="0" w:line="240" w:lineRule="auto"/>
              <w:jc w:val="center"/>
              <w:rPr>
                <w:rFonts w:ascii="Cambria" w:eastAsia="Times New Roman" w:hAnsi="Cambria" w:cs="Arial"/>
                <w:b/>
                <w:sz w:val="24"/>
                <w:szCs w:val="24"/>
                <w:lang w:val="en-US"/>
              </w:rPr>
            </w:pPr>
            <w:r w:rsidRPr="00DE1475">
              <w:rPr>
                <w:rFonts w:ascii="Cambria" w:eastAsia="Times New Roman" w:hAnsi="Cambria" w:cs="Arial"/>
                <w:b/>
                <w:sz w:val="24"/>
                <w:szCs w:val="24"/>
                <w:lang w:val="en-US"/>
              </w:rPr>
              <w:t>10</w:t>
            </w:r>
            <w:r w:rsidRPr="00DE1475">
              <w:rPr>
                <w:rFonts w:ascii="Cambria" w:eastAsia="Times New Roman" w:hAnsi="Cambria" w:cs="Arial"/>
                <w:b/>
                <w:sz w:val="24"/>
                <w:szCs w:val="24"/>
                <w:vertAlign w:val="superscript"/>
                <w:lang w:val="en-US"/>
              </w:rPr>
              <w:t>th</w:t>
            </w:r>
            <w:r w:rsidRPr="00DE1475">
              <w:rPr>
                <w:rFonts w:ascii="Cambria" w:eastAsia="Times New Roman" w:hAnsi="Cambria" w:cs="Arial"/>
                <w:b/>
                <w:sz w:val="24"/>
                <w:szCs w:val="24"/>
                <w:lang w:val="en-US"/>
              </w:rPr>
              <w:t xml:space="preserve"> International Conference on Short and Medium Span Bridges</w:t>
            </w:r>
          </w:p>
          <w:p w14:paraId="78410FEC" w14:textId="77777777" w:rsidR="00DE1475" w:rsidRPr="00DE1475" w:rsidRDefault="00DE1475" w:rsidP="00DE1475">
            <w:pPr>
              <w:pBdr>
                <w:bottom w:val="single" w:sz="6" w:space="1" w:color="auto"/>
              </w:pBdr>
              <w:spacing w:before="0" w:after="0" w:line="240" w:lineRule="auto"/>
              <w:jc w:val="center"/>
              <w:rPr>
                <w:rFonts w:ascii="Cambria" w:eastAsia="Times New Roman" w:hAnsi="Cambria" w:cs="Arial"/>
                <w:b/>
                <w:sz w:val="24"/>
                <w:szCs w:val="24"/>
                <w:lang w:val="en-US"/>
              </w:rPr>
            </w:pPr>
            <w:r w:rsidRPr="00DE1475">
              <w:rPr>
                <w:rFonts w:ascii="Cambria" w:eastAsia="Times New Roman" w:hAnsi="Cambria" w:cs="Arial"/>
                <w:b/>
                <w:sz w:val="24"/>
                <w:szCs w:val="24"/>
                <w:lang w:val="en-US"/>
              </w:rPr>
              <w:t>Quebec City, Quebec, Canada,</w:t>
            </w:r>
          </w:p>
          <w:p w14:paraId="730CCC83" w14:textId="77777777" w:rsidR="00DE1475" w:rsidRPr="00DE1475" w:rsidRDefault="00DE1475" w:rsidP="00DE1475">
            <w:pPr>
              <w:pBdr>
                <w:bottom w:val="single" w:sz="6" w:space="1" w:color="auto"/>
              </w:pBdr>
              <w:spacing w:before="0" w:after="0" w:line="240" w:lineRule="auto"/>
              <w:jc w:val="center"/>
              <w:rPr>
                <w:rFonts w:ascii="Arial Narrow" w:eastAsia="Times New Roman" w:hAnsi="Arial Narrow" w:cs="Arial"/>
                <w:b/>
                <w:sz w:val="24"/>
                <w:szCs w:val="24"/>
                <w:lang w:val="en-US"/>
              </w:rPr>
            </w:pPr>
            <w:r w:rsidRPr="00DE1475">
              <w:rPr>
                <w:rFonts w:ascii="Cambria" w:eastAsia="Times New Roman" w:hAnsi="Cambria" w:cs="Arial"/>
                <w:b/>
                <w:sz w:val="24"/>
                <w:szCs w:val="24"/>
                <w:lang w:val="en-US"/>
              </w:rPr>
              <w:t xml:space="preserve"> July 31 – August 3, 2018</w:t>
            </w:r>
          </w:p>
          <w:p w14:paraId="4D0EC07D" w14:textId="77777777" w:rsidR="00DE1475" w:rsidRPr="00DE1475" w:rsidRDefault="00DE1475" w:rsidP="00DE1475">
            <w:pPr>
              <w:keepNext/>
              <w:keepLines/>
              <w:spacing w:before="0" w:after="0" w:line="240" w:lineRule="auto"/>
              <w:jc w:val="left"/>
              <w:rPr>
                <w:rFonts w:ascii="Times New Roman" w:eastAsia="Times New Roman" w:hAnsi="Times New Roman"/>
                <w:b/>
                <w:caps/>
                <w:sz w:val="28"/>
                <w:szCs w:val="24"/>
                <w:lang w:val="en-US"/>
              </w:rPr>
            </w:pPr>
          </w:p>
        </w:tc>
        <w:tc>
          <w:tcPr>
            <w:tcW w:w="2240" w:type="dxa"/>
            <w:shd w:val="clear" w:color="auto" w:fill="auto"/>
          </w:tcPr>
          <w:p w14:paraId="49FB61D6" w14:textId="77777777" w:rsidR="00DE1475" w:rsidRPr="00DE1475" w:rsidRDefault="00DE1475" w:rsidP="00DE1475">
            <w:pPr>
              <w:keepNext/>
              <w:keepLines/>
              <w:spacing w:before="0" w:after="0" w:line="240" w:lineRule="auto"/>
              <w:jc w:val="left"/>
              <w:rPr>
                <w:rFonts w:ascii="Times New Roman" w:eastAsia="Times New Roman" w:hAnsi="Times New Roman"/>
                <w:b/>
                <w:caps/>
                <w:sz w:val="28"/>
                <w:szCs w:val="24"/>
              </w:rPr>
            </w:pPr>
          </w:p>
          <w:p w14:paraId="4BE53432" w14:textId="77777777" w:rsidR="00DE1475" w:rsidRPr="00DE1475" w:rsidRDefault="00DE1475" w:rsidP="00DE1475">
            <w:pPr>
              <w:keepNext/>
              <w:keepLines/>
              <w:spacing w:before="0" w:after="0" w:line="240" w:lineRule="auto"/>
              <w:jc w:val="left"/>
              <w:rPr>
                <w:rFonts w:ascii="Times New Roman" w:eastAsia="Times New Roman" w:hAnsi="Times New Roman"/>
                <w:b/>
                <w:caps/>
                <w:sz w:val="28"/>
                <w:szCs w:val="24"/>
              </w:rPr>
            </w:pPr>
            <w:r w:rsidRPr="00DE1475">
              <w:rPr>
                <w:rFonts w:ascii="Times New Roman" w:eastAsia="Times New Roman" w:hAnsi="Times New Roman"/>
                <w:b/>
                <w:caps/>
                <w:noProof/>
                <w:sz w:val="28"/>
                <w:szCs w:val="24"/>
                <w:lang w:eastAsia="en-CA"/>
              </w:rPr>
              <w:drawing>
                <wp:inline distT="0" distB="0" distL="0" distR="0" wp14:anchorId="2240C98A" wp14:editId="2A807572">
                  <wp:extent cx="1264920" cy="441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441960"/>
                          </a:xfrm>
                          <a:prstGeom prst="rect">
                            <a:avLst/>
                          </a:prstGeom>
                          <a:noFill/>
                          <a:ln>
                            <a:noFill/>
                          </a:ln>
                        </pic:spPr>
                      </pic:pic>
                    </a:graphicData>
                  </a:graphic>
                </wp:inline>
              </w:drawing>
            </w:r>
          </w:p>
        </w:tc>
      </w:tr>
    </w:tbl>
    <w:p w14:paraId="0FDFD57B" w14:textId="77777777" w:rsidR="006C79D9" w:rsidRDefault="006C79D9" w:rsidP="003B5197">
      <w:pPr>
        <w:pStyle w:val="Title"/>
        <w:rPr>
          <w:rStyle w:val="CharChar1"/>
          <w:rFonts w:cs="Arial"/>
          <w:bCs/>
          <w:szCs w:val="28"/>
        </w:rPr>
      </w:pPr>
    </w:p>
    <w:p w14:paraId="32709216" w14:textId="5054B8A0" w:rsidR="009772B6" w:rsidRPr="009772B6" w:rsidRDefault="00474C4F" w:rsidP="00C8199D">
      <w:pPr>
        <w:pStyle w:val="Title"/>
        <w:rPr>
          <w:rStyle w:val="CharChar1"/>
          <w:b/>
          <w:caps w:val="0"/>
        </w:rPr>
      </w:pPr>
      <w:r w:rsidRPr="009772B6">
        <w:rPr>
          <w:rStyle w:val="CharChar1"/>
          <w:b/>
          <w:caps w:val="0"/>
        </w:rPr>
        <w:t xml:space="preserve">DEVELOPMENT OF </w:t>
      </w:r>
      <w:r w:rsidR="003B218B">
        <w:rPr>
          <w:rStyle w:val="CharChar1"/>
          <w:b/>
          <w:caps w:val="0"/>
        </w:rPr>
        <w:t xml:space="preserve">DESIGN </w:t>
      </w:r>
      <w:r w:rsidR="00C8199D">
        <w:rPr>
          <w:rStyle w:val="CharChar1"/>
          <w:b/>
          <w:caps w:val="0"/>
        </w:rPr>
        <w:t xml:space="preserve">CHARTS FOR </w:t>
      </w:r>
      <w:r w:rsidRPr="009772B6">
        <w:rPr>
          <w:rStyle w:val="CharChar1"/>
          <w:b/>
          <w:caps w:val="0"/>
        </w:rPr>
        <w:t xml:space="preserve">TRANSVERSE VERTICAL SHEAR IN </w:t>
      </w:r>
      <w:r w:rsidR="00C8199D">
        <w:rPr>
          <w:rStyle w:val="CharChar1"/>
          <w:b/>
          <w:caps w:val="0"/>
        </w:rPr>
        <w:t xml:space="preserve">SHEAR-CONNECTED CONCRETE </w:t>
      </w:r>
      <w:r w:rsidRPr="009772B6">
        <w:rPr>
          <w:rStyle w:val="CharChar1"/>
          <w:b/>
          <w:caps w:val="0"/>
        </w:rPr>
        <w:t>BOX BEAM BRIDGES</w:t>
      </w:r>
      <w:r w:rsidR="00C8199D">
        <w:rPr>
          <w:rStyle w:val="CharChar1"/>
          <w:b/>
          <w:caps w:val="0"/>
        </w:rPr>
        <w:t xml:space="preserve"> </w:t>
      </w:r>
    </w:p>
    <w:p w14:paraId="2E0966DC" w14:textId="77777777" w:rsidR="009772B6" w:rsidRPr="009772B6" w:rsidRDefault="009772B6" w:rsidP="00DE1475">
      <w:pPr>
        <w:spacing w:before="400" w:after="0" w:line="240" w:lineRule="auto"/>
        <w:contextualSpacing/>
        <w:rPr>
          <w:rFonts w:cs="Arial"/>
          <w:sz w:val="24"/>
          <w:szCs w:val="24"/>
        </w:rPr>
      </w:pPr>
      <w:r w:rsidRPr="009772B6">
        <w:rPr>
          <w:rFonts w:cs="Arial"/>
          <w:sz w:val="24"/>
          <w:szCs w:val="24"/>
        </w:rPr>
        <w:t>Pourmand, Hanieh</w:t>
      </w:r>
      <w:r w:rsidRPr="009772B6">
        <w:rPr>
          <w:rFonts w:cs="Arial"/>
          <w:sz w:val="24"/>
          <w:szCs w:val="24"/>
          <w:vertAlign w:val="superscript"/>
        </w:rPr>
        <w:t>1,3</w:t>
      </w:r>
      <w:r w:rsidRPr="009772B6">
        <w:rPr>
          <w:rFonts w:cs="Arial"/>
          <w:sz w:val="24"/>
          <w:szCs w:val="24"/>
        </w:rPr>
        <w:t xml:space="preserve">, and </w:t>
      </w:r>
      <w:proofErr w:type="spellStart"/>
      <w:r w:rsidRPr="009772B6">
        <w:rPr>
          <w:rFonts w:cs="Arial"/>
          <w:sz w:val="24"/>
          <w:szCs w:val="24"/>
        </w:rPr>
        <w:t>Sennah</w:t>
      </w:r>
      <w:proofErr w:type="spellEnd"/>
      <w:r w:rsidRPr="009772B6">
        <w:rPr>
          <w:rFonts w:cs="Arial"/>
          <w:sz w:val="24"/>
          <w:szCs w:val="24"/>
        </w:rPr>
        <w:t>, Khaled</w:t>
      </w:r>
      <w:r w:rsidRPr="009772B6">
        <w:rPr>
          <w:rFonts w:cs="Arial"/>
          <w:sz w:val="24"/>
          <w:szCs w:val="24"/>
          <w:vertAlign w:val="superscript"/>
        </w:rPr>
        <w:t>2</w:t>
      </w:r>
    </w:p>
    <w:p w14:paraId="39BBC72F"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1</w:t>
      </w:r>
      <w:r w:rsidRPr="009772B6">
        <w:rPr>
          <w:rFonts w:cs="Arial"/>
          <w:szCs w:val="20"/>
        </w:rPr>
        <w:t xml:space="preserve"> Ryerson University, Canada</w:t>
      </w:r>
    </w:p>
    <w:p w14:paraId="73D537ED"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2</w:t>
      </w:r>
      <w:r w:rsidRPr="009772B6">
        <w:rPr>
          <w:rFonts w:cs="Arial"/>
          <w:szCs w:val="20"/>
        </w:rPr>
        <w:t xml:space="preserve"> Ryerson University, Canada</w:t>
      </w:r>
    </w:p>
    <w:p w14:paraId="55CF87D7"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3</w:t>
      </w:r>
      <w:r w:rsidRPr="009772B6">
        <w:rPr>
          <w:rFonts w:cs="Arial"/>
          <w:szCs w:val="20"/>
        </w:rPr>
        <w:t xml:space="preserve"> </w:t>
      </w:r>
      <w:hyperlink r:id="rId10" w:history="1">
        <w:r w:rsidRPr="009772B6">
          <w:rPr>
            <w:rFonts w:cs="Arial"/>
            <w:color w:val="0000FF"/>
            <w:szCs w:val="20"/>
            <w:u w:val="single"/>
          </w:rPr>
          <w:t>hpourmand@ryerson.ca</w:t>
        </w:r>
      </w:hyperlink>
    </w:p>
    <w:p w14:paraId="54935979" w14:textId="7C55A351" w:rsidR="009772B6" w:rsidRDefault="006A0C0D" w:rsidP="00EA4EED">
      <w:pPr>
        <w:pStyle w:val="Abstract"/>
      </w:pPr>
      <w:r w:rsidRPr="00310E1E">
        <w:rPr>
          <w:b/>
        </w:rPr>
        <w:t>Abstract:</w:t>
      </w:r>
      <w:r w:rsidRPr="00310E1E">
        <w:t xml:space="preserve"> </w:t>
      </w:r>
      <w:bookmarkStart w:id="0" w:name="_Toc437604687"/>
      <w:bookmarkStart w:id="1" w:name="_Toc445711677"/>
      <w:r w:rsidR="00A603F3">
        <w:t>P</w:t>
      </w:r>
      <w:r w:rsidR="009772B6" w:rsidRPr="009772B6">
        <w:t>refabricated bridge systems</w:t>
      </w:r>
      <w:r w:rsidR="00A34D48">
        <w:t xml:space="preserve"> and connection technology </w:t>
      </w:r>
      <w:r w:rsidR="00A603F3">
        <w:t>have been utilized to accelerate bridge construction to limit traffic disruption. One of these prefabricated bridge systems is a</w:t>
      </w:r>
      <w:r w:rsidR="009772B6" w:rsidRPr="009772B6">
        <w:t xml:space="preserve">djacent precast deck-free concrete box beams. </w:t>
      </w:r>
      <w:r w:rsidR="00A603F3">
        <w:t>A</w:t>
      </w:r>
      <w:r w:rsidR="009772B6" w:rsidRPr="009772B6">
        <w:t>djacent precast box beams are placed side by side with</w:t>
      </w:r>
      <w:r w:rsidR="00903EA0">
        <w:t xml:space="preserve"> </w:t>
      </w:r>
      <w:r w:rsidR="009772B6" w:rsidRPr="009772B6">
        <w:t>15 mm gaps, whereas the precast top flanges of adjacent box beams are connected with longitudinal shear keys</w:t>
      </w:r>
      <w:r w:rsidR="00A603F3">
        <w:t>, or flexural-shear joints,</w:t>
      </w:r>
      <w:r w:rsidR="009772B6" w:rsidRPr="009772B6">
        <w:t xml:space="preserve"> </w:t>
      </w:r>
      <w:r w:rsidR="00903EA0">
        <w:t>which</w:t>
      </w:r>
      <w:r w:rsidR="009772B6" w:rsidRPr="009772B6">
        <w:t xml:space="preserve"> help in truck load distribution among beams. Since, the concrete-filled joints provide transverse shear rigidity, the load transverse from one beam to another takes place, mainly through transverse shear, </w:t>
      </w:r>
      <w:proofErr w:type="spellStart"/>
      <w:r w:rsidR="009772B6" w:rsidRPr="009772B6">
        <w:t>V</w:t>
      </w:r>
      <w:r w:rsidR="009772B6" w:rsidRPr="00D51EDB">
        <w:rPr>
          <w:vertAlign w:val="subscript"/>
        </w:rPr>
        <w:t>y</w:t>
      </w:r>
      <w:proofErr w:type="spellEnd"/>
      <w:r w:rsidR="009772B6" w:rsidRPr="009772B6">
        <w:t xml:space="preserve">, across the shear key. Clause 5.7.4 of the </w:t>
      </w:r>
      <w:r w:rsidR="00A603F3">
        <w:t xml:space="preserve">2014 </w:t>
      </w:r>
      <w:r w:rsidR="009772B6" w:rsidRPr="009772B6">
        <w:t xml:space="preserve">Canadian Highway Bridge Design Code specifies an equation to determine </w:t>
      </w:r>
      <w:proofErr w:type="spellStart"/>
      <w:r w:rsidR="009772B6" w:rsidRPr="009772B6">
        <w:t>V</w:t>
      </w:r>
      <w:r w:rsidR="009772B6" w:rsidRPr="00682457">
        <w:rPr>
          <w:vertAlign w:val="subscript"/>
        </w:rPr>
        <w:t>y</w:t>
      </w:r>
      <w:proofErr w:type="spellEnd"/>
      <w:r w:rsidR="009772B6" w:rsidRPr="009772B6">
        <w:t>. The drawback of this equation is that it was based on an eccentric lane loaded with a truck irrespective of the number of design lanes</w:t>
      </w:r>
      <w:r w:rsidR="00903EA0">
        <w:t>. Additionally</w:t>
      </w:r>
      <w:r w:rsidR="00A603F3">
        <w:t xml:space="preserve">, the flexural-torsional parameter, β, </w:t>
      </w:r>
      <w:r w:rsidR="009772B6" w:rsidRPr="009772B6">
        <w:t>in the charts associated with this equation ranges from 0.2 to 2.0, which are applicable</w:t>
      </w:r>
      <w:r w:rsidR="00A603F3">
        <w:t xml:space="preserve"> only </w:t>
      </w:r>
      <w:r w:rsidR="009772B6" w:rsidRPr="009772B6">
        <w:t xml:space="preserve">to one- and two-lane bridges, while this value increase to 6 when the number of design lanes increases to 5. Thus, </w:t>
      </w:r>
      <w:r w:rsidR="00903EA0">
        <w:t xml:space="preserve">this study focused on </w:t>
      </w:r>
      <w:r w:rsidR="00903EA0" w:rsidRPr="009772B6">
        <w:t>investigating</w:t>
      </w:r>
      <w:r w:rsidR="009772B6" w:rsidRPr="009772B6">
        <w:t xml:space="preserve"> the values of </w:t>
      </w:r>
      <w:proofErr w:type="spellStart"/>
      <w:r w:rsidR="009772B6" w:rsidRPr="009772B6">
        <w:t>V</w:t>
      </w:r>
      <w:r w:rsidR="009772B6" w:rsidRPr="00EA0A35">
        <w:rPr>
          <w:vertAlign w:val="subscript"/>
        </w:rPr>
        <w:t>y</w:t>
      </w:r>
      <w:proofErr w:type="spellEnd"/>
      <w:r w:rsidR="009772B6" w:rsidRPr="00EA0A35">
        <w:rPr>
          <w:vertAlign w:val="subscript"/>
        </w:rPr>
        <w:t xml:space="preserve"> </w:t>
      </w:r>
      <w:r w:rsidR="009772B6" w:rsidRPr="009772B6">
        <w:t>considering (</w:t>
      </w:r>
      <w:proofErr w:type="spellStart"/>
      <w:r w:rsidR="009772B6" w:rsidRPr="009772B6">
        <w:t>i</w:t>
      </w:r>
      <w:proofErr w:type="spellEnd"/>
      <w:r w:rsidR="009772B6" w:rsidRPr="009772B6">
        <w:t xml:space="preserve">) number of design lanes ranging from 1 to </w:t>
      </w:r>
      <w:r w:rsidR="00EA0A35">
        <w:t>6</w:t>
      </w:r>
      <w:r w:rsidR="009772B6" w:rsidRPr="009772B6">
        <w:t xml:space="preserve">; (ii) multi-lane loading conditions; (iii) different </w:t>
      </w:r>
      <w:r w:rsidR="00A603F3">
        <w:t>bridge spans and widths; and (iv) the value β ranging from 0.2 to 6</w:t>
      </w:r>
      <w:r w:rsidR="009772B6" w:rsidRPr="009772B6">
        <w:t>. The analysis of the studie</w:t>
      </w:r>
      <w:r w:rsidR="00B621F8">
        <w:t>d</w:t>
      </w:r>
      <w:r w:rsidR="009772B6" w:rsidRPr="009772B6">
        <w:t xml:space="preserve"> bridges </w:t>
      </w:r>
      <w:r w:rsidR="00B621F8">
        <w:t>wa</w:t>
      </w:r>
      <w:r w:rsidR="009772B6" w:rsidRPr="009772B6">
        <w:t>s conducted using the Orthotropic Plate Theory</w:t>
      </w:r>
      <w:r w:rsidR="00903EA0">
        <w:t>.</w:t>
      </w:r>
      <w:r w:rsidR="009772B6" w:rsidRPr="009772B6">
        <w:t xml:space="preserve"> The data generated</w:t>
      </w:r>
      <w:r w:rsidR="00B621F8">
        <w:t xml:space="preserve"> from this analysis</w:t>
      </w:r>
      <w:r w:rsidR="009540A5">
        <w:t xml:space="preserve"> </w:t>
      </w:r>
      <w:r w:rsidR="009772B6" w:rsidRPr="009772B6">
        <w:t>w</w:t>
      </w:r>
      <w:r w:rsidR="00B621F8">
        <w:t>as</w:t>
      </w:r>
      <w:r w:rsidR="009772B6" w:rsidRPr="009772B6">
        <w:t xml:space="preserve"> employed to develop </w:t>
      </w:r>
      <w:r w:rsidR="00903EA0">
        <w:t>charts</w:t>
      </w:r>
      <w:r w:rsidR="009772B6" w:rsidRPr="009772B6">
        <w:t xml:space="preserve"> for the transverse vertical shear force at the shear keys in the studied bridge configurations with extended range of applicability more than those specified in </w:t>
      </w:r>
      <w:r w:rsidR="00B621F8">
        <w:t xml:space="preserve">the 2014 </w:t>
      </w:r>
      <w:r w:rsidR="009772B6" w:rsidRPr="009772B6">
        <w:t>CHBDC.</w:t>
      </w:r>
    </w:p>
    <w:p w14:paraId="4EF139F9" w14:textId="7D482A80" w:rsidR="006A0C0D" w:rsidRPr="00EA5B0A" w:rsidRDefault="006A0C0D" w:rsidP="00EA5B0A">
      <w:pPr>
        <w:pStyle w:val="Heading1"/>
      </w:pPr>
      <w:r w:rsidRPr="00EA5B0A">
        <w:t>INTRODUCTION</w:t>
      </w:r>
      <w:bookmarkEnd w:id="0"/>
      <w:bookmarkEnd w:id="1"/>
    </w:p>
    <w:p w14:paraId="3DEE8C66" w14:textId="2A22D183" w:rsidR="003F0135" w:rsidRDefault="00E505F1" w:rsidP="00EA4EED">
      <w:pPr>
        <w:pStyle w:val="BodyText"/>
        <w:rPr>
          <w:rFonts w:cs="Arial"/>
          <w:sz w:val="20"/>
        </w:rPr>
      </w:pPr>
      <w:r>
        <w:rPr>
          <w:rFonts w:cs="Arial"/>
          <w:sz w:val="20"/>
        </w:rPr>
        <w:t xml:space="preserve">Adjacent prestressed concrete adjacent box girder bridges which is most common types of box girder bridges are extensively used in </w:t>
      </w:r>
      <w:r w:rsidR="00116E69">
        <w:rPr>
          <w:rFonts w:cs="Arial"/>
          <w:sz w:val="20"/>
        </w:rPr>
        <w:t>a</w:t>
      </w:r>
      <w:r>
        <w:rPr>
          <w:rFonts w:cs="Arial"/>
          <w:sz w:val="20"/>
        </w:rPr>
        <w:t xml:space="preserve">ccelerated </w:t>
      </w:r>
      <w:r w:rsidR="00116E69">
        <w:rPr>
          <w:rFonts w:cs="Arial"/>
          <w:sz w:val="20"/>
        </w:rPr>
        <w:t>b</w:t>
      </w:r>
      <w:r>
        <w:rPr>
          <w:rFonts w:cs="Arial"/>
          <w:sz w:val="20"/>
        </w:rPr>
        <w:t xml:space="preserve">ridge </w:t>
      </w:r>
      <w:r w:rsidR="00116E69">
        <w:rPr>
          <w:rFonts w:cs="Arial"/>
          <w:sz w:val="20"/>
        </w:rPr>
        <w:t>c</w:t>
      </w:r>
      <w:r>
        <w:rPr>
          <w:rFonts w:cs="Arial"/>
          <w:sz w:val="20"/>
        </w:rPr>
        <w:t>onstruction (ABC). ABC decrease</w:t>
      </w:r>
      <w:r w:rsidR="00116E69">
        <w:rPr>
          <w:rFonts w:cs="Arial"/>
          <w:sz w:val="20"/>
        </w:rPr>
        <w:t>s</w:t>
      </w:r>
      <w:r>
        <w:rPr>
          <w:rFonts w:cs="Arial"/>
          <w:sz w:val="20"/>
        </w:rPr>
        <w:t xml:space="preserve"> the construction time and cost significantly in compar</w:t>
      </w:r>
      <w:r w:rsidR="00116E69">
        <w:rPr>
          <w:rFonts w:cs="Arial"/>
          <w:sz w:val="20"/>
        </w:rPr>
        <w:t xml:space="preserve">ison to conventional methods </w:t>
      </w:r>
      <w:r>
        <w:rPr>
          <w:rFonts w:cs="Arial"/>
          <w:sz w:val="20"/>
        </w:rPr>
        <w:t>of bridge construction. Canadian Highway Bridge Design Code</w:t>
      </w:r>
      <w:r w:rsidR="00BF65FD">
        <w:rPr>
          <w:rFonts w:cs="Arial"/>
          <w:sz w:val="20"/>
        </w:rPr>
        <w:t>, CHBDC,</w:t>
      </w:r>
      <w:r w:rsidR="003B4D69">
        <w:rPr>
          <w:rFonts w:cs="Arial"/>
          <w:sz w:val="20"/>
        </w:rPr>
        <w:t xml:space="preserve"> (</w:t>
      </w:r>
      <w:r w:rsidR="00BF65FD">
        <w:rPr>
          <w:rFonts w:cs="Arial"/>
          <w:sz w:val="20"/>
        </w:rPr>
        <w:t xml:space="preserve">CSA </w:t>
      </w:r>
      <w:r w:rsidR="003B4D69">
        <w:rPr>
          <w:rFonts w:cs="Arial"/>
          <w:sz w:val="20"/>
        </w:rPr>
        <w:t xml:space="preserve">2014) </w:t>
      </w:r>
      <w:r w:rsidR="00577943">
        <w:rPr>
          <w:rFonts w:cs="Arial"/>
          <w:sz w:val="20"/>
        </w:rPr>
        <w:t xml:space="preserve">specifies </w:t>
      </w:r>
      <w:r w:rsidR="003B4D69">
        <w:rPr>
          <w:rFonts w:cs="Arial"/>
          <w:sz w:val="20"/>
        </w:rPr>
        <w:t xml:space="preserve">a simplified method </w:t>
      </w:r>
      <w:r w:rsidR="00577943">
        <w:rPr>
          <w:rFonts w:cs="Arial"/>
          <w:sz w:val="20"/>
        </w:rPr>
        <w:t xml:space="preserve">of </w:t>
      </w:r>
      <w:r w:rsidR="003B4D69">
        <w:rPr>
          <w:rFonts w:cs="Arial"/>
          <w:sz w:val="20"/>
        </w:rPr>
        <w:t xml:space="preserve">analysis </w:t>
      </w:r>
      <w:r w:rsidR="00577943">
        <w:rPr>
          <w:rFonts w:cs="Arial"/>
          <w:sz w:val="20"/>
        </w:rPr>
        <w:t>to the following types of bridges</w:t>
      </w:r>
      <w:r w:rsidR="003B4D69">
        <w:rPr>
          <w:rFonts w:cs="Arial"/>
          <w:sz w:val="20"/>
        </w:rPr>
        <w:t>:</w:t>
      </w:r>
    </w:p>
    <w:p w14:paraId="073387C2" w14:textId="3B7F622C" w:rsidR="000C3EEC" w:rsidRPr="000C3EEC" w:rsidRDefault="000C3EEC" w:rsidP="00EA4EED">
      <w:pPr>
        <w:pStyle w:val="BodyText"/>
        <w:numPr>
          <w:ilvl w:val="0"/>
          <w:numId w:val="7"/>
        </w:numPr>
        <w:ind w:left="357" w:hanging="357"/>
        <w:contextualSpacing/>
        <w:rPr>
          <w:rFonts w:cs="Arial"/>
          <w:sz w:val="20"/>
        </w:rPr>
      </w:pPr>
      <w:r w:rsidRPr="000C3EEC">
        <w:rPr>
          <w:rFonts w:cs="Arial"/>
          <w:sz w:val="20"/>
        </w:rPr>
        <w:t>Reinforced / post-tensioned solid slab</w:t>
      </w:r>
    </w:p>
    <w:p w14:paraId="5EEBDC6A" w14:textId="3B7F622C" w:rsidR="000C3EEC" w:rsidRPr="000C3EEC" w:rsidRDefault="000C3EEC" w:rsidP="00EA4EED">
      <w:pPr>
        <w:pStyle w:val="BodyText"/>
        <w:numPr>
          <w:ilvl w:val="0"/>
          <w:numId w:val="7"/>
        </w:numPr>
        <w:ind w:left="357" w:hanging="357"/>
        <w:contextualSpacing/>
        <w:rPr>
          <w:rFonts w:cs="Arial"/>
          <w:sz w:val="20"/>
        </w:rPr>
      </w:pPr>
      <w:r w:rsidRPr="000C3EEC">
        <w:rPr>
          <w:rFonts w:cs="Arial"/>
          <w:sz w:val="20"/>
        </w:rPr>
        <w:t>Post-tensioned circular / trapezoidal voided deck</w:t>
      </w:r>
    </w:p>
    <w:p w14:paraId="1973BE87" w14:textId="448C8705" w:rsidR="000C3EEC" w:rsidRPr="000C3EEC" w:rsidRDefault="000C3EEC" w:rsidP="00EA4EED">
      <w:pPr>
        <w:pStyle w:val="BodyText"/>
        <w:numPr>
          <w:ilvl w:val="0"/>
          <w:numId w:val="7"/>
        </w:numPr>
        <w:ind w:left="357" w:hanging="357"/>
        <w:contextualSpacing/>
        <w:rPr>
          <w:rFonts w:cs="Arial"/>
          <w:sz w:val="20"/>
        </w:rPr>
      </w:pPr>
      <w:r w:rsidRPr="000C3EEC">
        <w:rPr>
          <w:rFonts w:cs="Arial"/>
          <w:sz w:val="20"/>
        </w:rPr>
        <w:t>Slab-on-girders, including concrete slab-on-girder, steel grid deck on girder and wood</w:t>
      </w:r>
    </w:p>
    <w:p w14:paraId="086109BA" w14:textId="0C0C9F0D" w:rsidR="000C3EEC" w:rsidRPr="000C3EEC" w:rsidRDefault="00AF47E1" w:rsidP="00EA4EED">
      <w:pPr>
        <w:pStyle w:val="BodyText"/>
        <w:contextualSpacing/>
        <w:rPr>
          <w:rFonts w:cs="Arial"/>
          <w:sz w:val="20"/>
        </w:rPr>
      </w:pPr>
      <w:r>
        <w:rPr>
          <w:rFonts w:cs="Arial"/>
          <w:sz w:val="20"/>
        </w:rPr>
        <w:t xml:space="preserve">      </w:t>
      </w:r>
      <w:r w:rsidR="000C3EEC" w:rsidRPr="000C3EEC">
        <w:rPr>
          <w:rFonts w:cs="Arial"/>
          <w:sz w:val="20"/>
        </w:rPr>
        <w:t>deck on girder</w:t>
      </w:r>
    </w:p>
    <w:p w14:paraId="0DBEDF64" w14:textId="15AEC1BF" w:rsidR="000C3EEC" w:rsidRPr="000C3EEC" w:rsidRDefault="000C3EEC" w:rsidP="00EA4EED">
      <w:pPr>
        <w:pStyle w:val="BodyText"/>
        <w:numPr>
          <w:ilvl w:val="0"/>
          <w:numId w:val="7"/>
        </w:numPr>
        <w:contextualSpacing/>
        <w:rPr>
          <w:rFonts w:cs="Arial"/>
          <w:sz w:val="20"/>
        </w:rPr>
      </w:pPr>
      <w:r w:rsidRPr="000C3EEC">
        <w:rPr>
          <w:rFonts w:cs="Arial"/>
          <w:sz w:val="20"/>
        </w:rPr>
        <w:t>Shear connected beams</w:t>
      </w:r>
    </w:p>
    <w:p w14:paraId="6E8CC95B" w14:textId="381A9ED3" w:rsidR="000C3EEC" w:rsidRPr="000C3EEC" w:rsidRDefault="000C3EEC" w:rsidP="00EA4EED">
      <w:pPr>
        <w:pStyle w:val="BodyText"/>
        <w:numPr>
          <w:ilvl w:val="0"/>
          <w:numId w:val="7"/>
        </w:numPr>
        <w:contextualSpacing/>
        <w:rPr>
          <w:rFonts w:cs="Arial"/>
          <w:sz w:val="20"/>
        </w:rPr>
      </w:pPr>
      <w:r w:rsidRPr="000C3EEC">
        <w:rPr>
          <w:rFonts w:cs="Arial"/>
          <w:sz w:val="20"/>
        </w:rPr>
        <w:t>Truss and arch</w:t>
      </w:r>
    </w:p>
    <w:p w14:paraId="2A159395" w14:textId="4AD604DF" w:rsidR="000C3EEC" w:rsidRPr="000C3EEC" w:rsidRDefault="000C3EEC" w:rsidP="00EA4EED">
      <w:pPr>
        <w:pStyle w:val="BodyText"/>
        <w:numPr>
          <w:ilvl w:val="0"/>
          <w:numId w:val="7"/>
        </w:numPr>
        <w:contextualSpacing/>
        <w:rPr>
          <w:rFonts w:cs="Arial"/>
          <w:sz w:val="20"/>
        </w:rPr>
      </w:pPr>
      <w:r w:rsidRPr="000C3EEC">
        <w:rPr>
          <w:rFonts w:cs="Arial"/>
          <w:sz w:val="20"/>
        </w:rPr>
        <w:t>Rigid frame and integral abutment types</w:t>
      </w:r>
    </w:p>
    <w:p w14:paraId="18CB87C9" w14:textId="7BAA1D70" w:rsidR="000C3EEC" w:rsidRPr="000C3EEC" w:rsidRDefault="000C3EEC" w:rsidP="00EA4EED">
      <w:pPr>
        <w:pStyle w:val="BodyText"/>
        <w:numPr>
          <w:ilvl w:val="0"/>
          <w:numId w:val="7"/>
        </w:numPr>
        <w:contextualSpacing/>
        <w:rPr>
          <w:rFonts w:cs="Arial"/>
          <w:sz w:val="20"/>
        </w:rPr>
      </w:pPr>
      <w:r w:rsidRPr="000C3EEC">
        <w:rPr>
          <w:rFonts w:cs="Arial"/>
          <w:sz w:val="20"/>
        </w:rPr>
        <w:t>Bridges incorporating wood beams</w:t>
      </w:r>
    </w:p>
    <w:p w14:paraId="74C7A40E" w14:textId="3A0025F5" w:rsidR="000C3EEC" w:rsidRDefault="000C3EEC" w:rsidP="00EA4EED">
      <w:pPr>
        <w:pStyle w:val="BodyText"/>
        <w:numPr>
          <w:ilvl w:val="0"/>
          <w:numId w:val="7"/>
        </w:numPr>
        <w:contextualSpacing/>
        <w:rPr>
          <w:rFonts w:cs="Arial"/>
          <w:sz w:val="20"/>
        </w:rPr>
      </w:pPr>
      <w:r w:rsidRPr="000C3EEC">
        <w:rPr>
          <w:rFonts w:cs="Arial"/>
          <w:sz w:val="20"/>
        </w:rPr>
        <w:t>Box girder including single cell, multi cell, and multi-spine</w:t>
      </w:r>
    </w:p>
    <w:p w14:paraId="03D42643" w14:textId="30D271B2" w:rsidR="00416864" w:rsidRDefault="00CB0B3E" w:rsidP="00EA4EED">
      <w:pPr>
        <w:pStyle w:val="BodyText"/>
        <w:contextualSpacing/>
        <w:rPr>
          <w:rFonts w:cs="Arial"/>
          <w:sz w:val="20"/>
        </w:rPr>
      </w:pPr>
      <w:r>
        <w:rPr>
          <w:rFonts w:cs="Arial"/>
          <w:sz w:val="20"/>
        </w:rPr>
        <w:lastRenderedPageBreak/>
        <w:t xml:space="preserve">Precast prestressed concrete adjacent box </w:t>
      </w:r>
      <w:r w:rsidR="00BF0EFB">
        <w:rPr>
          <w:rFonts w:cs="Arial"/>
          <w:sz w:val="20"/>
        </w:rPr>
        <w:t>beam</w:t>
      </w:r>
      <w:r>
        <w:rPr>
          <w:rFonts w:cs="Arial"/>
          <w:sz w:val="20"/>
        </w:rPr>
        <w:t xml:space="preserve"> bridges </w:t>
      </w:r>
      <w:r w:rsidR="00BF0EFB">
        <w:rPr>
          <w:rFonts w:cs="Arial"/>
          <w:sz w:val="20"/>
        </w:rPr>
        <w:t xml:space="preserve">is </w:t>
      </w:r>
      <w:r>
        <w:rPr>
          <w:rFonts w:cs="Arial"/>
          <w:sz w:val="20"/>
        </w:rPr>
        <w:t>widely used in bridge construction for its high torsional stiffness.</w:t>
      </w:r>
      <w:r w:rsidR="00397D51">
        <w:rPr>
          <w:rFonts w:cs="Arial"/>
          <w:sz w:val="20"/>
        </w:rPr>
        <w:t xml:space="preserve"> The other benefit</w:t>
      </w:r>
      <w:r w:rsidR="00BF0EFB">
        <w:rPr>
          <w:rFonts w:cs="Arial"/>
          <w:sz w:val="20"/>
        </w:rPr>
        <w:t>s</w:t>
      </w:r>
      <w:r w:rsidR="00397D51">
        <w:rPr>
          <w:rFonts w:cs="Arial"/>
          <w:sz w:val="20"/>
        </w:rPr>
        <w:t xml:space="preserve"> of employing the adjacent box girder bridges include </w:t>
      </w:r>
      <w:r w:rsidR="008E18FA">
        <w:rPr>
          <w:rFonts w:cs="Arial"/>
          <w:sz w:val="20"/>
        </w:rPr>
        <w:t xml:space="preserve">lighter weight of the beams relative to </w:t>
      </w:r>
      <w:r w:rsidR="00BF0EFB">
        <w:rPr>
          <w:rFonts w:cs="Arial"/>
          <w:sz w:val="20"/>
        </w:rPr>
        <w:t xml:space="preserve">some </w:t>
      </w:r>
      <w:r w:rsidR="008E18FA">
        <w:rPr>
          <w:rFonts w:cs="Arial"/>
          <w:sz w:val="20"/>
        </w:rPr>
        <w:t xml:space="preserve">other </w:t>
      </w:r>
      <w:r w:rsidR="00BF0EFB">
        <w:rPr>
          <w:rFonts w:cs="Arial"/>
          <w:sz w:val="20"/>
        </w:rPr>
        <w:t xml:space="preserve">bridge </w:t>
      </w:r>
      <w:r w:rsidR="008E18FA">
        <w:rPr>
          <w:rFonts w:cs="Arial"/>
          <w:sz w:val="20"/>
        </w:rPr>
        <w:t xml:space="preserve">systems, </w:t>
      </w:r>
      <w:r w:rsidR="00BF0EFB">
        <w:rPr>
          <w:rFonts w:cs="Arial"/>
          <w:sz w:val="20"/>
        </w:rPr>
        <w:t>given the h</w:t>
      </w:r>
      <w:r w:rsidR="008E18FA">
        <w:rPr>
          <w:rFonts w:cs="Arial"/>
          <w:sz w:val="20"/>
        </w:rPr>
        <w:t xml:space="preserve">ollow portion inside box beams </w:t>
      </w:r>
      <w:r w:rsidR="00BF0EFB">
        <w:rPr>
          <w:rFonts w:cs="Arial"/>
          <w:sz w:val="20"/>
        </w:rPr>
        <w:t xml:space="preserve">that </w:t>
      </w:r>
      <w:r w:rsidR="008E18FA">
        <w:rPr>
          <w:rFonts w:cs="Arial"/>
          <w:sz w:val="20"/>
        </w:rPr>
        <w:t xml:space="preserve">can be easily used for utilities lines and storm drains, enhance the bridge appearance owing to the slim superstructure and flat </w:t>
      </w:r>
      <w:r w:rsidR="002A4896">
        <w:rPr>
          <w:rFonts w:cs="Arial"/>
          <w:sz w:val="20"/>
        </w:rPr>
        <w:t>soffit</w:t>
      </w:r>
      <w:r w:rsidR="00AF47E1">
        <w:rPr>
          <w:rFonts w:cs="Arial"/>
          <w:sz w:val="20"/>
        </w:rPr>
        <w:t xml:space="preserve"> </w:t>
      </w:r>
      <w:r w:rsidR="00AF47E1">
        <w:rPr>
          <w:rFonts w:cs="Arial"/>
          <w:sz w:val="20"/>
        </w:rPr>
        <w:fldChar w:fldCharType="begin"/>
      </w:r>
      <w:r w:rsidR="00AF47E1">
        <w:rPr>
          <w:rFonts w:cs="Arial"/>
          <w:sz w:val="20"/>
        </w:rPr>
        <w:instrText xml:space="preserve"> ADDIN ZOTERO_ITEM CSL_CITATION {"citationID":"FChj2cFU","properties":{"formattedCitation":"(Hanna 2008)","plainCitation":"(Hanna 2008)","noteIndex":0},"citationItems":[{"id":22,"uris":["http://zotero.org/users/local/HDomOMEv/items/JDCD6IHZ"],"uri":["http://zotero.org/users/local/HDomOMEv/items/JDCD6IHZ"],"itemData":{"id":22,"type":"article-journal","title":"Behavior of adjacent precast prestressed concrete box girder bridges","container-title":"ETD collection for University of Nebraska - Lincoln","page":"1-166","author":[{"family":"Hanna","given":"Kromel E"}],"issued":{"date-parts":[["2008",1,1]]}}}],"schema":"https://github.com/citation-style-language/schema/raw/master/csl-citation.json"} </w:instrText>
      </w:r>
      <w:r w:rsidR="00AF47E1">
        <w:rPr>
          <w:rFonts w:cs="Arial"/>
          <w:sz w:val="20"/>
        </w:rPr>
        <w:fldChar w:fldCharType="separate"/>
      </w:r>
      <w:r w:rsidR="00AF47E1" w:rsidRPr="00AF47E1">
        <w:rPr>
          <w:rFonts w:cs="Arial"/>
          <w:sz w:val="20"/>
        </w:rPr>
        <w:t>(Hanna 2008)</w:t>
      </w:r>
      <w:r w:rsidR="00AF47E1">
        <w:rPr>
          <w:rFonts w:cs="Arial"/>
          <w:sz w:val="20"/>
        </w:rPr>
        <w:fldChar w:fldCharType="end"/>
      </w:r>
      <w:r w:rsidR="001551FF">
        <w:rPr>
          <w:rFonts w:cs="Arial"/>
          <w:sz w:val="20"/>
        </w:rPr>
        <w:t xml:space="preserve">. </w:t>
      </w:r>
      <w:r w:rsidR="002A4896">
        <w:rPr>
          <w:rFonts w:cs="Arial"/>
          <w:sz w:val="20"/>
        </w:rPr>
        <w:t xml:space="preserve">Generally, adjacent box beams connected to each other by partial or full depth shear keys included mild or prestressed transverse reinforcement </w:t>
      </w:r>
      <w:r w:rsidR="00AF47E1">
        <w:rPr>
          <w:rFonts w:cs="Arial"/>
          <w:sz w:val="20"/>
        </w:rPr>
        <w:fldChar w:fldCharType="begin"/>
      </w:r>
      <w:r w:rsidR="00AF47E1">
        <w:rPr>
          <w:rFonts w:cs="Arial"/>
          <w:sz w:val="20"/>
        </w:rPr>
        <w:instrText xml:space="preserve"> ADDIN ZOTERO_ITEM CSL_CITATION {"citationID":"pDB32Duq","properties":{"formattedCitation":"(Lopez de Murphy et al. 2010)","plainCitation":"(Lopez de Murphy et al. 2010)","noteIndex":0},"citationItems":[{"id":13,"uris":["http://zotero.org/users/local/HDomOMEv/items/IM7UP9D5"],"uri":["http://zotero.org/users/local/HDomOMEv/items/IM7UP9D5"],"itemData":{"id":13,"type":"article-journal","title":"Determining More Effective Approaches for Grouting Shear Keys of Adjacent Box Beams","source":"trid.trb.org","URL":"https://trid.trb.org/view/924788","author":[{"family":"Lopez de Murphy","given":"Maria"},{"family":"Kim","given":"Jubum"},{"family":"Sang","given":"Zi"},{"family":"Xiao","given":"Chao"}],"issued":{"date-parts":[["2010",5,31]]},"accessed":{"date-parts":[["2018",5,24]]}}}],"schema":"https://github.com/citation-style-language/schema/raw/master/csl-citation.json"} </w:instrText>
      </w:r>
      <w:r w:rsidR="00AF47E1">
        <w:rPr>
          <w:rFonts w:cs="Arial"/>
          <w:sz w:val="20"/>
        </w:rPr>
        <w:fldChar w:fldCharType="separate"/>
      </w:r>
      <w:r w:rsidR="00AF47E1" w:rsidRPr="00AF47E1">
        <w:rPr>
          <w:rFonts w:cs="Arial"/>
          <w:sz w:val="20"/>
        </w:rPr>
        <w:t>(Lopez de Murphy et al. 2010)</w:t>
      </w:r>
      <w:r w:rsidR="00AF47E1">
        <w:rPr>
          <w:rFonts w:cs="Arial"/>
          <w:sz w:val="20"/>
        </w:rPr>
        <w:fldChar w:fldCharType="end"/>
      </w:r>
      <w:r w:rsidR="002A4896">
        <w:rPr>
          <w:rFonts w:cs="Arial"/>
          <w:sz w:val="20"/>
        </w:rPr>
        <w:t xml:space="preserve">. </w:t>
      </w:r>
      <w:r w:rsidR="00EA1B79">
        <w:rPr>
          <w:rFonts w:cs="Arial"/>
          <w:sz w:val="20"/>
        </w:rPr>
        <w:t>Figure1 demonstrates various cross section</w:t>
      </w:r>
      <w:r w:rsidR="00BF0EFB">
        <w:rPr>
          <w:rFonts w:cs="Arial"/>
          <w:sz w:val="20"/>
        </w:rPr>
        <w:t>s</w:t>
      </w:r>
      <w:r w:rsidR="00EA1B79">
        <w:rPr>
          <w:rFonts w:cs="Arial"/>
          <w:sz w:val="20"/>
        </w:rPr>
        <w:t xml:space="preserve"> of box </w:t>
      </w:r>
      <w:r w:rsidR="00BF0EFB">
        <w:rPr>
          <w:rFonts w:cs="Arial"/>
          <w:sz w:val="20"/>
        </w:rPr>
        <w:t>beam</w:t>
      </w:r>
      <w:r w:rsidR="00EA1B79">
        <w:rPr>
          <w:rFonts w:cs="Arial"/>
          <w:sz w:val="20"/>
        </w:rPr>
        <w:t xml:space="preserve"> bridges</w:t>
      </w:r>
      <w:r w:rsidR="00BF0EFB">
        <w:rPr>
          <w:rFonts w:cs="Arial"/>
          <w:sz w:val="20"/>
        </w:rPr>
        <w:t xml:space="preserve">. Figure 1(a) shows a bridge cross-section </w:t>
      </w:r>
      <w:r w:rsidR="001D4E4E" w:rsidRPr="001D4E4E">
        <w:rPr>
          <w:rFonts w:cs="Arial"/>
          <w:sz w:val="20"/>
        </w:rPr>
        <w:t>compris</w:t>
      </w:r>
      <w:r w:rsidR="00BF0EFB">
        <w:rPr>
          <w:rFonts w:cs="Arial"/>
          <w:sz w:val="20"/>
        </w:rPr>
        <w:t xml:space="preserve">ing of </w:t>
      </w:r>
      <w:r w:rsidR="001D4E4E" w:rsidRPr="001D4E4E">
        <w:rPr>
          <w:rFonts w:cs="Arial"/>
          <w:sz w:val="20"/>
        </w:rPr>
        <w:t xml:space="preserve">precast adjacent box beams with continuity of transverse flexural rigidity across the cross-section, covered with an integral concrete deck. </w:t>
      </w:r>
      <w:r w:rsidR="00C56D1C">
        <w:rPr>
          <w:rFonts w:cs="Arial"/>
          <w:sz w:val="20"/>
        </w:rPr>
        <w:t xml:space="preserve">Figure 1(b) shows bridge cross-section of adjacent </w:t>
      </w:r>
      <w:r w:rsidR="00B8683B" w:rsidRPr="00B8683B">
        <w:rPr>
          <w:rFonts w:cs="Arial"/>
          <w:sz w:val="20"/>
        </w:rPr>
        <w:t>box beams without continuity of transverse flexural rigidity across the cross-section</w:t>
      </w:r>
      <w:r w:rsidR="00C56D1C">
        <w:rPr>
          <w:rFonts w:cs="Arial"/>
          <w:sz w:val="20"/>
        </w:rPr>
        <w:t xml:space="preserve">. In this case, the deck slab is </w:t>
      </w:r>
      <w:r w:rsidR="00B8683B" w:rsidRPr="00B8683B">
        <w:rPr>
          <w:rFonts w:cs="Arial"/>
          <w:sz w:val="20"/>
        </w:rPr>
        <w:t>made of integral concrete with shear joints between the top flanges of the adjacent boxes.</w:t>
      </w:r>
      <w:r w:rsidR="00C56D1C">
        <w:rPr>
          <w:rFonts w:cs="Arial"/>
          <w:sz w:val="20"/>
        </w:rPr>
        <w:t xml:space="preserve"> Figure 1(c) shows a bridge cross-section with </w:t>
      </w:r>
      <w:r w:rsidR="00B8683B" w:rsidRPr="00B8683B">
        <w:rPr>
          <w:rFonts w:cs="Arial"/>
          <w:sz w:val="20"/>
        </w:rPr>
        <w:t>the deck constructed integral</w:t>
      </w:r>
      <w:r w:rsidR="00C56D1C">
        <w:rPr>
          <w:rFonts w:cs="Arial"/>
          <w:sz w:val="20"/>
        </w:rPr>
        <w:t>ly with the top flange</w:t>
      </w:r>
      <w:r w:rsidR="00B8683B" w:rsidRPr="00B8683B">
        <w:rPr>
          <w:rFonts w:cs="Arial"/>
          <w:sz w:val="20"/>
        </w:rPr>
        <w:t xml:space="preserve"> </w:t>
      </w:r>
      <w:r w:rsidR="00C56D1C">
        <w:rPr>
          <w:rFonts w:cs="Arial"/>
          <w:sz w:val="20"/>
        </w:rPr>
        <w:t xml:space="preserve">of the box beams, with top flanges connected using </w:t>
      </w:r>
      <w:r w:rsidR="00B8683B" w:rsidRPr="00B8683B">
        <w:rPr>
          <w:rFonts w:cs="Arial"/>
          <w:sz w:val="20"/>
        </w:rPr>
        <w:t>shear-flexural joint (continuity o</w:t>
      </w:r>
      <w:r w:rsidR="00C56D1C">
        <w:rPr>
          <w:rFonts w:cs="Arial"/>
          <w:sz w:val="20"/>
        </w:rPr>
        <w:t>f reinforcement between the top</w:t>
      </w:r>
      <w:r w:rsidR="00B8683B" w:rsidRPr="00B8683B">
        <w:rPr>
          <w:rFonts w:cs="Arial"/>
          <w:sz w:val="20"/>
        </w:rPr>
        <w:t xml:space="preserve"> flanges of the adjacent boxes</w:t>
      </w:r>
      <w:r w:rsidR="00C56D1C">
        <w:rPr>
          <w:rFonts w:cs="Arial"/>
          <w:sz w:val="20"/>
        </w:rPr>
        <w:t>).</w:t>
      </w:r>
      <w:r w:rsidR="00416864">
        <w:rPr>
          <w:rFonts w:cs="Arial"/>
          <w:sz w:val="20"/>
        </w:rPr>
        <w:t xml:space="preserve"> </w:t>
      </w:r>
      <w:r w:rsidR="00C56D1C">
        <w:rPr>
          <w:rFonts w:cs="Arial"/>
          <w:sz w:val="20"/>
        </w:rPr>
        <w:t xml:space="preserve">Figure 1(d) shows the bridge cross-section </w:t>
      </w:r>
      <w:r w:rsidR="00B8683B" w:rsidRPr="00B8683B">
        <w:rPr>
          <w:rFonts w:cs="Arial"/>
          <w:sz w:val="20"/>
        </w:rPr>
        <w:t xml:space="preserve">built with </w:t>
      </w:r>
      <w:r w:rsidR="00C56D1C">
        <w:rPr>
          <w:rFonts w:cs="Arial"/>
          <w:sz w:val="20"/>
        </w:rPr>
        <w:t>p</w:t>
      </w:r>
      <w:r w:rsidR="00B8683B" w:rsidRPr="00B8683B">
        <w:rPr>
          <w:rFonts w:cs="Arial"/>
          <w:sz w:val="20"/>
        </w:rPr>
        <w:t>recast adjacent box beams with</w:t>
      </w:r>
      <w:r w:rsidR="00416864">
        <w:rPr>
          <w:rFonts w:cs="Arial"/>
          <w:sz w:val="20"/>
        </w:rPr>
        <w:t xml:space="preserve"> vertical shear key between boxes and with </w:t>
      </w:r>
      <w:r w:rsidR="00B8683B" w:rsidRPr="00B8683B">
        <w:rPr>
          <w:rFonts w:cs="Arial"/>
          <w:sz w:val="20"/>
        </w:rPr>
        <w:t>transverse post-tensioning</w:t>
      </w:r>
      <w:r w:rsidR="00416864">
        <w:rPr>
          <w:rFonts w:cs="Arial"/>
          <w:sz w:val="20"/>
        </w:rPr>
        <w:t xml:space="preserve"> and concrete overlay. Figure 1(e) shows bridge cross-section identical to that in Figure 1(d) but with deck slab integral with the precast box beam. </w:t>
      </w:r>
    </w:p>
    <w:p w14:paraId="14607922" w14:textId="77777777" w:rsidR="00416864" w:rsidRDefault="00416864" w:rsidP="00EA4EED">
      <w:pPr>
        <w:pStyle w:val="BodyText"/>
        <w:contextualSpacing/>
        <w:rPr>
          <w:rFonts w:cs="Arial"/>
        </w:rPr>
      </w:pPr>
    </w:p>
    <w:p w14:paraId="5A519081" w14:textId="77777777" w:rsidR="00610AA2" w:rsidRDefault="00610AA2" w:rsidP="00EA4EED">
      <w:pPr>
        <w:spacing w:before="0" w:after="0" w:line="240" w:lineRule="auto"/>
        <w:rPr>
          <w:rFonts w:cs="Arial"/>
          <w:szCs w:val="20"/>
        </w:rPr>
      </w:pPr>
      <w:r w:rsidRPr="00EA1B79">
        <w:rPr>
          <w:noProof/>
          <w:lang w:eastAsia="en-CA"/>
        </w:rPr>
        <w:drawing>
          <wp:inline distT="0" distB="0" distL="0" distR="0" wp14:anchorId="1477F995" wp14:editId="59AE9747">
            <wp:extent cx="2383497" cy="713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633"/>
                    <a:stretch/>
                  </pic:blipFill>
                  <pic:spPr bwMode="auto">
                    <a:xfrm>
                      <a:off x="0" y="0"/>
                      <a:ext cx="2432550" cy="728208"/>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0"/>
        </w:rPr>
        <w:t xml:space="preserve">              </w:t>
      </w:r>
      <w:r w:rsidRPr="00EA1B79">
        <w:rPr>
          <w:noProof/>
          <w:lang w:eastAsia="en-CA"/>
        </w:rPr>
        <w:drawing>
          <wp:inline distT="0" distB="0" distL="0" distR="0" wp14:anchorId="0948CA23" wp14:editId="487F64F9">
            <wp:extent cx="2509227" cy="739166"/>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153" cy="770664"/>
                    </a:xfrm>
                    <a:prstGeom prst="rect">
                      <a:avLst/>
                    </a:prstGeom>
                    <a:noFill/>
                  </pic:spPr>
                </pic:pic>
              </a:graphicData>
            </a:graphic>
          </wp:inline>
        </w:drawing>
      </w:r>
    </w:p>
    <w:p w14:paraId="07203EA6" w14:textId="591E05F9" w:rsidR="00763719" w:rsidRDefault="00763719" w:rsidP="00EA4EED">
      <w:pPr>
        <w:spacing w:before="0" w:after="0" w:line="240" w:lineRule="auto"/>
        <w:rPr>
          <w:rFonts w:cs="Arial"/>
          <w:szCs w:val="20"/>
        </w:rPr>
      </w:pPr>
      <w:r>
        <w:rPr>
          <w:rFonts w:cs="Arial"/>
          <w:szCs w:val="20"/>
        </w:rPr>
        <w:t>(a) B</w:t>
      </w:r>
      <w:r w:rsidRPr="00763719">
        <w:rPr>
          <w:rFonts w:cs="Arial"/>
          <w:szCs w:val="20"/>
        </w:rPr>
        <w:t>eams with</w:t>
      </w:r>
      <w:r>
        <w:rPr>
          <w:rFonts w:cs="Arial"/>
          <w:szCs w:val="20"/>
        </w:rPr>
        <w:t xml:space="preserve"> </w:t>
      </w:r>
      <w:r w:rsidRPr="00763719">
        <w:rPr>
          <w:rFonts w:cs="Arial"/>
          <w:szCs w:val="20"/>
        </w:rPr>
        <w:t xml:space="preserve">continuity of transverse flexural </w:t>
      </w:r>
      <w:r w:rsidR="00C56D1C">
        <w:rPr>
          <w:rFonts w:cs="Arial"/>
          <w:szCs w:val="20"/>
        </w:rPr>
        <w:t xml:space="preserve">       (b) Beams with shear keys between top flanges</w:t>
      </w:r>
    </w:p>
    <w:p w14:paraId="1EF18B32" w14:textId="77777777" w:rsidR="0050783A" w:rsidRDefault="00763719" w:rsidP="00EA4EED">
      <w:pPr>
        <w:spacing w:before="0" w:after="0" w:line="240" w:lineRule="auto"/>
        <w:rPr>
          <w:rFonts w:cs="Arial"/>
          <w:szCs w:val="20"/>
        </w:rPr>
      </w:pPr>
      <w:r w:rsidRPr="00763719">
        <w:rPr>
          <w:rFonts w:cs="Arial"/>
          <w:szCs w:val="20"/>
        </w:rPr>
        <w:t>rigidity across the cross-section</w:t>
      </w:r>
      <w:r w:rsidR="00C56D1C">
        <w:rPr>
          <w:rFonts w:cs="Arial"/>
          <w:szCs w:val="20"/>
        </w:rPr>
        <w:t xml:space="preserve">   </w:t>
      </w:r>
    </w:p>
    <w:p w14:paraId="4D9955FA" w14:textId="3375C339" w:rsidR="00610AA2" w:rsidRDefault="00C56D1C" w:rsidP="00EA4EED">
      <w:pPr>
        <w:spacing w:before="0" w:after="0" w:line="240" w:lineRule="auto"/>
        <w:rPr>
          <w:rFonts w:cs="Arial"/>
          <w:szCs w:val="20"/>
        </w:rPr>
      </w:pPr>
      <w:r>
        <w:rPr>
          <w:rFonts w:cs="Arial"/>
          <w:szCs w:val="20"/>
        </w:rPr>
        <w:t xml:space="preserve">                                          </w:t>
      </w:r>
    </w:p>
    <w:p w14:paraId="0E84345C" w14:textId="7A3622FE" w:rsidR="00610AA2" w:rsidRDefault="00610AA2" w:rsidP="00EA4EED">
      <w:pPr>
        <w:spacing w:before="0" w:after="0" w:line="240" w:lineRule="auto"/>
        <w:rPr>
          <w:rFonts w:cs="Arial"/>
          <w:szCs w:val="20"/>
        </w:rPr>
      </w:pPr>
      <w:r w:rsidRPr="00EA1B79">
        <w:rPr>
          <w:noProof/>
          <w:lang w:eastAsia="en-CA"/>
        </w:rPr>
        <w:drawing>
          <wp:inline distT="0" distB="0" distL="0" distR="0" wp14:anchorId="2C4F48E5" wp14:editId="78AC3D00">
            <wp:extent cx="2463953" cy="735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993" cy="768833"/>
                    </a:xfrm>
                    <a:prstGeom prst="rect">
                      <a:avLst/>
                    </a:prstGeom>
                    <a:noFill/>
                  </pic:spPr>
                </pic:pic>
              </a:graphicData>
            </a:graphic>
          </wp:inline>
        </w:drawing>
      </w:r>
      <w:r>
        <w:rPr>
          <w:rFonts w:cs="Arial"/>
          <w:szCs w:val="20"/>
        </w:rPr>
        <w:t xml:space="preserve">           </w:t>
      </w:r>
      <w:r w:rsidRPr="00EA1B79">
        <w:rPr>
          <w:noProof/>
          <w:lang w:eastAsia="en-CA"/>
        </w:rPr>
        <w:drawing>
          <wp:inline distT="0" distB="0" distL="0" distR="0" wp14:anchorId="09E97259" wp14:editId="5BD46E69">
            <wp:extent cx="2566251" cy="7678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1525" cy="775424"/>
                    </a:xfrm>
                    <a:prstGeom prst="rect">
                      <a:avLst/>
                    </a:prstGeom>
                    <a:noFill/>
                  </pic:spPr>
                </pic:pic>
              </a:graphicData>
            </a:graphic>
          </wp:inline>
        </w:drawing>
      </w:r>
    </w:p>
    <w:p w14:paraId="631FEB75" w14:textId="4C424188" w:rsidR="00C56D1C" w:rsidRDefault="00C56D1C" w:rsidP="00EA4EED">
      <w:pPr>
        <w:spacing w:before="0" w:after="0" w:line="240" w:lineRule="auto"/>
        <w:rPr>
          <w:rFonts w:cs="Arial"/>
          <w:szCs w:val="20"/>
        </w:rPr>
      </w:pPr>
      <w:r>
        <w:rPr>
          <w:rFonts w:cs="Arial"/>
          <w:szCs w:val="20"/>
        </w:rPr>
        <w:t>(c) Beams connected with shear-flexure joints</w:t>
      </w:r>
      <w:r w:rsidR="00416864">
        <w:rPr>
          <w:rFonts w:cs="Arial"/>
          <w:szCs w:val="20"/>
        </w:rPr>
        <w:t xml:space="preserve">         (d) Beams connected using shear keys and transverse </w:t>
      </w:r>
    </w:p>
    <w:p w14:paraId="7337E685" w14:textId="77777777" w:rsidR="0050783A" w:rsidRDefault="00C56D1C" w:rsidP="00EA4EED">
      <w:pPr>
        <w:spacing w:before="0" w:after="0" w:line="240" w:lineRule="auto"/>
        <w:rPr>
          <w:rFonts w:cs="Arial"/>
          <w:szCs w:val="20"/>
        </w:rPr>
      </w:pPr>
      <w:r>
        <w:rPr>
          <w:rFonts w:cs="Arial"/>
          <w:szCs w:val="20"/>
        </w:rPr>
        <w:t>between top flanges</w:t>
      </w:r>
      <w:r w:rsidR="00610AA2">
        <w:rPr>
          <w:rFonts w:cs="Arial"/>
          <w:szCs w:val="20"/>
        </w:rPr>
        <w:t xml:space="preserve">     </w:t>
      </w:r>
      <w:r w:rsidR="00416864">
        <w:rPr>
          <w:rFonts w:cs="Arial"/>
          <w:szCs w:val="20"/>
        </w:rPr>
        <w:t xml:space="preserve">                                            posttensioning and concrete overlay </w:t>
      </w:r>
      <w:r w:rsidR="00610AA2">
        <w:rPr>
          <w:rFonts w:cs="Arial"/>
          <w:szCs w:val="20"/>
        </w:rPr>
        <w:t xml:space="preserve">  </w:t>
      </w:r>
    </w:p>
    <w:p w14:paraId="2199156C" w14:textId="42938117" w:rsidR="00610AA2" w:rsidRDefault="00610AA2" w:rsidP="00EA4EED">
      <w:pPr>
        <w:spacing w:before="0" w:after="0" w:line="240" w:lineRule="auto"/>
        <w:rPr>
          <w:rFonts w:cs="Arial"/>
          <w:szCs w:val="20"/>
        </w:rPr>
      </w:pPr>
      <w:r>
        <w:rPr>
          <w:rFonts w:cs="Arial"/>
          <w:szCs w:val="20"/>
        </w:rPr>
        <w:t xml:space="preserve">    </w:t>
      </w:r>
    </w:p>
    <w:p w14:paraId="12CA7A7A" w14:textId="6586C263" w:rsidR="00610AA2" w:rsidRDefault="00610AA2" w:rsidP="00EA4EED">
      <w:pPr>
        <w:spacing w:before="0" w:after="0" w:line="240" w:lineRule="auto"/>
        <w:rPr>
          <w:rFonts w:cs="Arial"/>
          <w:szCs w:val="20"/>
        </w:rPr>
      </w:pPr>
      <w:r>
        <w:rPr>
          <w:noProof/>
          <w:lang w:eastAsia="en-CA"/>
        </w:rPr>
        <w:t xml:space="preserve">                                           </w:t>
      </w:r>
      <w:r w:rsidRPr="00EA1B79">
        <w:rPr>
          <w:noProof/>
          <w:lang w:eastAsia="en-CA"/>
        </w:rPr>
        <w:drawing>
          <wp:inline distT="0" distB="0" distL="0" distR="0" wp14:anchorId="258EA092" wp14:editId="6BB2BA22">
            <wp:extent cx="2795219" cy="7880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608" cy="799422"/>
                    </a:xfrm>
                    <a:prstGeom prst="rect">
                      <a:avLst/>
                    </a:prstGeom>
                    <a:noFill/>
                  </pic:spPr>
                </pic:pic>
              </a:graphicData>
            </a:graphic>
          </wp:inline>
        </w:drawing>
      </w:r>
    </w:p>
    <w:p w14:paraId="2FCC241A" w14:textId="77777777" w:rsidR="0050783A" w:rsidRDefault="00416864" w:rsidP="00EA4EED">
      <w:pPr>
        <w:spacing w:before="0" w:after="0" w:line="240" w:lineRule="auto"/>
        <w:jc w:val="center"/>
        <w:rPr>
          <w:rFonts w:cs="Arial"/>
          <w:szCs w:val="20"/>
        </w:rPr>
      </w:pPr>
      <w:r>
        <w:rPr>
          <w:rFonts w:cs="Arial"/>
          <w:szCs w:val="20"/>
        </w:rPr>
        <w:t>(e) Beams, with integral deck slab, connected with</w:t>
      </w:r>
    </w:p>
    <w:p w14:paraId="7CC96612" w14:textId="3149CBCA" w:rsidR="00610AA2" w:rsidRDefault="00416864" w:rsidP="00EA4EED">
      <w:pPr>
        <w:spacing w:before="0" w:after="0" w:line="240" w:lineRule="auto"/>
        <w:jc w:val="center"/>
        <w:rPr>
          <w:rFonts w:cs="Arial"/>
          <w:szCs w:val="20"/>
        </w:rPr>
      </w:pPr>
      <w:r>
        <w:rPr>
          <w:rFonts w:cs="Arial"/>
          <w:szCs w:val="20"/>
        </w:rPr>
        <w:t>shear keys and transverse posttensioning</w:t>
      </w:r>
    </w:p>
    <w:p w14:paraId="3B9F86BC" w14:textId="77777777" w:rsidR="00416864" w:rsidRDefault="00416864" w:rsidP="00EA4EED">
      <w:pPr>
        <w:pStyle w:val="Caption"/>
        <w:spacing w:before="0" w:after="0"/>
      </w:pPr>
    </w:p>
    <w:p w14:paraId="7754D001" w14:textId="48951487" w:rsidR="00EA1B79" w:rsidRDefault="00EA1B79" w:rsidP="00EA4EED">
      <w:pPr>
        <w:pStyle w:val="Caption"/>
        <w:spacing w:before="0" w:after="0"/>
        <w:rPr>
          <w:rFonts w:cs="Arial"/>
        </w:rPr>
      </w:pPr>
      <w:r>
        <w:t xml:space="preserve">Figure </w:t>
      </w:r>
      <w:r w:rsidR="00202055">
        <w:rPr>
          <w:noProof/>
        </w:rPr>
        <w:fldChar w:fldCharType="begin"/>
      </w:r>
      <w:r w:rsidR="00202055">
        <w:rPr>
          <w:noProof/>
        </w:rPr>
        <w:instrText xml:space="preserve"> SEQ Figure \* ARABIC </w:instrText>
      </w:r>
      <w:r w:rsidR="00202055">
        <w:rPr>
          <w:noProof/>
        </w:rPr>
        <w:fldChar w:fldCharType="separate"/>
      </w:r>
      <w:r w:rsidR="00984D23">
        <w:rPr>
          <w:noProof/>
        </w:rPr>
        <w:t>1</w:t>
      </w:r>
      <w:r w:rsidR="00202055">
        <w:rPr>
          <w:noProof/>
        </w:rPr>
        <w:fldChar w:fldCharType="end"/>
      </w:r>
      <w:r w:rsidR="001D0BEE">
        <w:t>: Cross-sections of adjacent box beams</w:t>
      </w:r>
    </w:p>
    <w:p w14:paraId="6CA9D460" w14:textId="02D5CECC" w:rsidR="00B7264A" w:rsidRDefault="00937567" w:rsidP="00EA4EED">
      <w:pPr>
        <w:pStyle w:val="BodyText"/>
        <w:contextualSpacing/>
        <w:rPr>
          <w:rFonts w:cs="Arial"/>
          <w:sz w:val="20"/>
        </w:rPr>
      </w:pPr>
      <w:r>
        <w:rPr>
          <w:rFonts w:cs="Arial"/>
          <w:sz w:val="20"/>
        </w:rPr>
        <w:t>Shear keys plays a key role in transferring the live load from one beam to another</w:t>
      </w:r>
      <w:r w:rsidR="003A05DD">
        <w:rPr>
          <w:rFonts w:cs="Arial"/>
          <w:sz w:val="20"/>
        </w:rPr>
        <w:t xml:space="preserve"> </w:t>
      </w:r>
      <w:r w:rsidR="00AF47E1">
        <w:rPr>
          <w:rFonts w:cs="Arial"/>
          <w:sz w:val="20"/>
        </w:rPr>
        <w:fldChar w:fldCharType="begin"/>
      </w:r>
      <w:r w:rsidR="00AF47E1">
        <w:rPr>
          <w:rFonts w:cs="Arial"/>
          <w:sz w:val="20"/>
        </w:rPr>
        <w:instrText xml:space="preserve"> ADDIN ZOTERO_ITEM CSL_CITATION {"citationID":"0ntsfuXk","properties":{"formattedCitation":"(Bakht Baidar et al. 1983)","plainCitation":"(Bakht Baidar et al. 1983)","noteIndex":0},"citationItems":[{"id":7,"uris":["http://zotero.org/users/local/HDomOMEv/items/8VPPEMD5"],"uri":["http://zotero.org/users/local/HDomOMEv/items/8VPPEMD5"],"itemData":{"id":7,"type":"article-journal","title":"Transverse Shear in Multibeam Bridges","container-title":"Journal of Structural Engineering","page":"936-949","volume":"109","issue":"4","source":"ascelibrary.org (Atypon)","DOI":"10.1061/(ASCE)0733-9445(1983)109:4(936)","journalAbbreviation":"Journal of Structural Engineering","author":[{"literal":"Bakht Baidar"},{"literal":"Jaeger Leslie G."},{"literal":"Cheung M. S."}],"issued":{"date-parts":[["1983",4,1]]}}}],"schema":"https://github.com/citation-style-language/schema/raw/master/csl-citation.json"} </w:instrText>
      </w:r>
      <w:r w:rsidR="00AF47E1">
        <w:rPr>
          <w:rFonts w:cs="Arial"/>
          <w:sz w:val="20"/>
        </w:rPr>
        <w:fldChar w:fldCharType="separate"/>
      </w:r>
      <w:r w:rsidR="00AF47E1" w:rsidRPr="00AF47E1">
        <w:rPr>
          <w:rFonts w:cs="Arial"/>
          <w:sz w:val="20"/>
        </w:rPr>
        <w:t>(Bakht et al. 1983)</w:t>
      </w:r>
      <w:r w:rsidR="00AF47E1">
        <w:rPr>
          <w:rFonts w:cs="Arial"/>
          <w:sz w:val="20"/>
        </w:rPr>
        <w:fldChar w:fldCharType="end"/>
      </w:r>
      <w:r>
        <w:rPr>
          <w:rFonts w:cs="Arial"/>
          <w:sz w:val="20"/>
        </w:rPr>
        <w:t>.  As a result, failure of shear keys can create uneven load distribution between girders</w:t>
      </w:r>
      <w:r w:rsidR="00023C01">
        <w:rPr>
          <w:rFonts w:cs="Arial"/>
          <w:sz w:val="20"/>
        </w:rPr>
        <w:t>, and it cause</w:t>
      </w:r>
      <w:r w:rsidR="001A0271">
        <w:rPr>
          <w:rFonts w:cs="Arial"/>
          <w:sz w:val="20"/>
        </w:rPr>
        <w:t>s</w:t>
      </w:r>
      <w:r w:rsidR="00023C01">
        <w:rPr>
          <w:rFonts w:cs="Arial"/>
          <w:sz w:val="20"/>
        </w:rPr>
        <w:t xml:space="preserve"> some girders to support more loads than their design </w:t>
      </w:r>
      <w:r w:rsidR="002863FD">
        <w:rPr>
          <w:rFonts w:cs="Arial"/>
          <w:sz w:val="20"/>
        </w:rPr>
        <w:t>capacity</w:t>
      </w:r>
      <w:r>
        <w:rPr>
          <w:rFonts w:cs="Arial"/>
          <w:sz w:val="20"/>
        </w:rPr>
        <w:t>.</w:t>
      </w:r>
      <w:r w:rsidR="00023C01">
        <w:rPr>
          <w:rFonts w:cs="Arial"/>
          <w:sz w:val="20"/>
        </w:rPr>
        <w:t xml:space="preserve"> Also</w:t>
      </w:r>
      <w:r w:rsidR="001A0271">
        <w:rPr>
          <w:rFonts w:cs="Arial"/>
          <w:sz w:val="20"/>
        </w:rPr>
        <w:t>,</w:t>
      </w:r>
      <w:r w:rsidR="00023C01">
        <w:rPr>
          <w:rFonts w:cs="Arial"/>
          <w:sz w:val="20"/>
        </w:rPr>
        <w:t xml:space="preserve"> cracking in shear keys results in cor</w:t>
      </w:r>
      <w:r w:rsidR="002863FD">
        <w:rPr>
          <w:rFonts w:cs="Arial"/>
          <w:sz w:val="20"/>
        </w:rPr>
        <w:t>rosion of reinforcement inside the beam by letting the chloride-laden water inside the box girders.</w:t>
      </w:r>
      <w:r w:rsidR="001A0271">
        <w:rPr>
          <w:rFonts w:cs="Arial"/>
          <w:sz w:val="20"/>
        </w:rPr>
        <w:t xml:space="preserve"> In addition to projecting reinforcement into the shear key, th</w:t>
      </w:r>
      <w:r w:rsidR="004C7727">
        <w:rPr>
          <w:rFonts w:cs="Arial"/>
          <w:sz w:val="20"/>
        </w:rPr>
        <w:t xml:space="preserve">ree </w:t>
      </w:r>
      <w:r w:rsidR="00B7264A">
        <w:rPr>
          <w:rFonts w:cs="Arial"/>
          <w:sz w:val="20"/>
        </w:rPr>
        <w:t>crucial factors</w:t>
      </w:r>
      <w:r w:rsidR="004C7727">
        <w:rPr>
          <w:rFonts w:cs="Arial"/>
          <w:sz w:val="20"/>
        </w:rPr>
        <w:t xml:space="preserve"> </w:t>
      </w:r>
      <w:r w:rsidR="009F71D3">
        <w:rPr>
          <w:rFonts w:cs="Arial"/>
          <w:sz w:val="20"/>
        </w:rPr>
        <w:t>have significant effect</w:t>
      </w:r>
      <w:r w:rsidR="001A0271">
        <w:rPr>
          <w:rFonts w:cs="Arial"/>
          <w:sz w:val="20"/>
        </w:rPr>
        <w:t>s</w:t>
      </w:r>
      <w:r w:rsidR="009F71D3">
        <w:rPr>
          <w:rFonts w:cs="Arial"/>
          <w:sz w:val="20"/>
        </w:rPr>
        <w:t xml:space="preserve"> on performance of shear keys</w:t>
      </w:r>
      <w:r w:rsidR="001A0271">
        <w:rPr>
          <w:rFonts w:cs="Arial"/>
          <w:sz w:val="20"/>
        </w:rPr>
        <w:t>, namely:</w:t>
      </w:r>
      <w:r w:rsidR="00324F5A" w:rsidRPr="00324F5A">
        <w:t xml:space="preserve"> </w:t>
      </w:r>
      <w:r w:rsidR="00324F5A" w:rsidRPr="00324F5A">
        <w:rPr>
          <w:rFonts w:cs="Arial"/>
          <w:sz w:val="20"/>
        </w:rPr>
        <w:t>geometry, location, and depth</w:t>
      </w:r>
      <w:r w:rsidR="001A0271">
        <w:rPr>
          <w:rFonts w:cs="Arial"/>
          <w:sz w:val="20"/>
        </w:rPr>
        <w:t xml:space="preserve"> of grouting materials</w:t>
      </w:r>
      <w:r w:rsidR="00B7264A">
        <w:rPr>
          <w:rFonts w:cs="Arial"/>
          <w:sz w:val="20"/>
        </w:rPr>
        <w:t xml:space="preserve">. </w:t>
      </w:r>
      <w:r w:rsidR="001A0271">
        <w:rPr>
          <w:rFonts w:cs="Arial"/>
          <w:sz w:val="20"/>
        </w:rPr>
        <w:t>Figure 2 shows v</w:t>
      </w:r>
      <w:r w:rsidR="00B7264A">
        <w:rPr>
          <w:rFonts w:cs="Arial"/>
          <w:sz w:val="20"/>
        </w:rPr>
        <w:t>ariou</w:t>
      </w:r>
      <w:r w:rsidR="001A0271">
        <w:rPr>
          <w:rFonts w:cs="Arial"/>
          <w:sz w:val="20"/>
        </w:rPr>
        <w:t>s shear key configurations</w:t>
      </w:r>
      <w:r w:rsidR="00EA4EED">
        <w:rPr>
          <w:rFonts w:cs="Arial"/>
          <w:sz w:val="20"/>
        </w:rPr>
        <w:t xml:space="preserve">, </w:t>
      </w:r>
      <w:r w:rsidR="001A0271">
        <w:rPr>
          <w:rFonts w:cs="Arial"/>
          <w:sz w:val="20"/>
        </w:rPr>
        <w:t xml:space="preserve">including </w:t>
      </w:r>
      <w:r w:rsidR="00EA4EED">
        <w:rPr>
          <w:rFonts w:cs="Arial"/>
          <w:sz w:val="20"/>
        </w:rPr>
        <w:t>(1) p</w:t>
      </w:r>
      <w:r w:rsidR="00B7264A" w:rsidRPr="00B7264A">
        <w:rPr>
          <w:rFonts w:cs="Arial"/>
          <w:sz w:val="20"/>
        </w:rPr>
        <w:t xml:space="preserve">artial-depth conventional grout with </w:t>
      </w:r>
      <w:r w:rsidR="00EA4EED">
        <w:rPr>
          <w:rFonts w:cs="Arial"/>
          <w:sz w:val="20"/>
        </w:rPr>
        <w:t>posttensioning (</w:t>
      </w:r>
      <w:r w:rsidR="00B7264A" w:rsidRPr="00B7264A">
        <w:rPr>
          <w:rFonts w:cs="Arial"/>
          <w:sz w:val="20"/>
        </w:rPr>
        <w:t>PT</w:t>
      </w:r>
      <w:r w:rsidR="00EA4EED">
        <w:rPr>
          <w:rFonts w:cs="Arial"/>
          <w:sz w:val="20"/>
        </w:rPr>
        <w:t>), (2) f</w:t>
      </w:r>
      <w:r w:rsidR="00B7264A" w:rsidRPr="00B7264A">
        <w:rPr>
          <w:rFonts w:cs="Arial"/>
          <w:sz w:val="20"/>
        </w:rPr>
        <w:t>ull-depth conventional grout with PT</w:t>
      </w:r>
      <w:r w:rsidR="00EA4EED">
        <w:rPr>
          <w:rFonts w:cs="Arial"/>
          <w:sz w:val="20"/>
        </w:rPr>
        <w:t>, (3) t</w:t>
      </w:r>
      <w:r w:rsidR="00B7264A" w:rsidRPr="00B7264A">
        <w:rPr>
          <w:rFonts w:cs="Arial"/>
          <w:sz w:val="20"/>
        </w:rPr>
        <w:t xml:space="preserve">op flange shear joint </w:t>
      </w:r>
      <w:r w:rsidR="00EA4EED">
        <w:rPr>
          <w:rFonts w:cs="Arial"/>
          <w:sz w:val="20"/>
        </w:rPr>
        <w:t>filled with non-shrink grout or ultra-high performance concrete (</w:t>
      </w:r>
      <w:r w:rsidR="00B7264A" w:rsidRPr="00B7264A">
        <w:rPr>
          <w:rFonts w:cs="Arial"/>
          <w:sz w:val="20"/>
        </w:rPr>
        <w:t>UHPC</w:t>
      </w:r>
      <w:r w:rsidR="00EA4EED">
        <w:rPr>
          <w:rFonts w:cs="Arial"/>
          <w:sz w:val="20"/>
        </w:rPr>
        <w:t>), (4) t</w:t>
      </w:r>
      <w:r w:rsidR="00B7264A" w:rsidRPr="00B7264A">
        <w:rPr>
          <w:rFonts w:cs="Arial"/>
          <w:sz w:val="20"/>
        </w:rPr>
        <w:t>op and bottom flange joints with full-depth UHPC</w:t>
      </w:r>
      <w:r w:rsidR="00EA4EED">
        <w:rPr>
          <w:rFonts w:cs="Arial"/>
          <w:sz w:val="20"/>
        </w:rPr>
        <w:t xml:space="preserve"> as filling materials, and (5) to</w:t>
      </w:r>
      <w:r w:rsidR="00B7264A" w:rsidRPr="00B7264A">
        <w:rPr>
          <w:rFonts w:cs="Arial"/>
          <w:sz w:val="20"/>
        </w:rPr>
        <w:t xml:space="preserve">p flange flexural-shear joint filled with </w:t>
      </w:r>
      <w:r w:rsidR="00EA4EED">
        <w:rPr>
          <w:rFonts w:cs="Arial"/>
          <w:sz w:val="20"/>
        </w:rPr>
        <w:t>non-shrink grout or UHPC.</w:t>
      </w:r>
      <w:r w:rsidR="00B7264A" w:rsidRPr="00B7264A">
        <w:rPr>
          <w:rFonts w:cs="Arial"/>
          <w:sz w:val="20"/>
        </w:rPr>
        <w:t xml:space="preserve"> </w:t>
      </w:r>
    </w:p>
    <w:p w14:paraId="17790A3D" w14:textId="06C50BAD" w:rsidR="001A0271" w:rsidRDefault="00EA4EED" w:rsidP="00EA4EED">
      <w:pPr>
        <w:spacing w:line="240" w:lineRule="auto"/>
        <w:jc w:val="left"/>
      </w:pPr>
      <w:r>
        <w:lastRenderedPageBreak/>
        <w:t xml:space="preserve">            </w:t>
      </w:r>
      <w:r w:rsidR="001A0271" w:rsidRPr="0068416C">
        <w:rPr>
          <w:rFonts w:eastAsia="Arial"/>
          <w:noProof/>
          <w:color w:val="000000"/>
          <w:szCs w:val="20"/>
          <w:lang w:eastAsia="en-CA"/>
        </w:rPr>
        <w:drawing>
          <wp:inline distT="0" distB="0" distL="0" distR="0" wp14:anchorId="153DA185" wp14:editId="786A302C">
            <wp:extent cx="1926590" cy="8902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890270"/>
                    </a:xfrm>
                    <a:prstGeom prst="rect">
                      <a:avLst/>
                    </a:prstGeom>
                    <a:noFill/>
                  </pic:spPr>
                </pic:pic>
              </a:graphicData>
            </a:graphic>
          </wp:inline>
        </w:drawing>
      </w:r>
      <w:r w:rsidR="001A0271">
        <w:t xml:space="preserve">              </w:t>
      </w:r>
      <w:r>
        <w:t xml:space="preserve">    </w:t>
      </w:r>
      <w:r w:rsidR="001A0271">
        <w:t xml:space="preserve">   </w:t>
      </w:r>
      <w:r>
        <w:t xml:space="preserve">   </w:t>
      </w:r>
      <w:r w:rsidR="001A0271">
        <w:t xml:space="preserve">    </w:t>
      </w:r>
      <w:r w:rsidR="001A0271" w:rsidRPr="0068416C">
        <w:rPr>
          <w:rFonts w:eastAsia="Arial"/>
          <w:noProof/>
          <w:color w:val="000000"/>
          <w:szCs w:val="20"/>
          <w:lang w:eastAsia="en-CA"/>
        </w:rPr>
        <w:drawing>
          <wp:inline distT="0" distB="0" distL="0" distR="0" wp14:anchorId="09FC7BB5" wp14:editId="36227C50">
            <wp:extent cx="1926590" cy="871855"/>
            <wp:effectExtent l="0" t="0" r="0" b="444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6590" cy="871855"/>
                    </a:xfrm>
                    <a:prstGeom prst="rect">
                      <a:avLst/>
                    </a:prstGeom>
                    <a:noFill/>
                  </pic:spPr>
                </pic:pic>
              </a:graphicData>
            </a:graphic>
          </wp:inline>
        </w:drawing>
      </w:r>
      <w:r w:rsidR="001A0271">
        <w:t xml:space="preserve">          </w:t>
      </w:r>
    </w:p>
    <w:p w14:paraId="7A6F7F4E" w14:textId="178B7EA4" w:rsidR="001A0271" w:rsidRDefault="00EA4EED" w:rsidP="00EA4EED">
      <w:pPr>
        <w:spacing w:line="240" w:lineRule="auto"/>
        <w:jc w:val="left"/>
      </w:pPr>
      <w:r>
        <w:t xml:space="preserve">      </w:t>
      </w:r>
      <w:r w:rsidR="001A0271">
        <w:t xml:space="preserve">(a) </w:t>
      </w:r>
      <w:r w:rsidR="001A0271" w:rsidRPr="001A0271">
        <w:t>Partial-depth conventional grout with PT</w:t>
      </w:r>
      <w:r w:rsidR="001A0271">
        <w:t xml:space="preserve">      </w:t>
      </w:r>
      <w:r>
        <w:t xml:space="preserve">       </w:t>
      </w:r>
      <w:r w:rsidR="001A0271">
        <w:t xml:space="preserve">  (b) </w:t>
      </w:r>
      <w:r w:rsidR="001A0271" w:rsidRPr="001A0271">
        <w:t>Full-depth conventional grout with PT</w:t>
      </w:r>
    </w:p>
    <w:p w14:paraId="182269E6" w14:textId="77777777" w:rsidR="00EA4EED" w:rsidRDefault="00EA4EED" w:rsidP="00EA4EED">
      <w:pPr>
        <w:spacing w:line="240" w:lineRule="auto"/>
        <w:jc w:val="left"/>
      </w:pPr>
    </w:p>
    <w:p w14:paraId="2273DCFB" w14:textId="7DC62031" w:rsidR="001A0271" w:rsidRDefault="00EA4EED" w:rsidP="00EA4EED">
      <w:pPr>
        <w:spacing w:line="240" w:lineRule="auto"/>
        <w:jc w:val="left"/>
      </w:pPr>
      <w:r>
        <w:t xml:space="preserve">            </w:t>
      </w:r>
      <w:r w:rsidR="001A0271" w:rsidRPr="0068416C">
        <w:rPr>
          <w:rFonts w:eastAsia="Arial"/>
          <w:noProof/>
          <w:color w:val="000000"/>
          <w:szCs w:val="20"/>
          <w:lang w:eastAsia="en-CA"/>
        </w:rPr>
        <w:drawing>
          <wp:inline distT="0" distB="0" distL="0" distR="0" wp14:anchorId="7E7E493D" wp14:editId="4DCCADB5">
            <wp:extent cx="1901825" cy="853440"/>
            <wp:effectExtent l="0" t="0" r="3175" b="381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825" cy="853440"/>
                    </a:xfrm>
                    <a:prstGeom prst="rect">
                      <a:avLst/>
                    </a:prstGeom>
                    <a:noFill/>
                  </pic:spPr>
                </pic:pic>
              </a:graphicData>
            </a:graphic>
          </wp:inline>
        </w:drawing>
      </w:r>
      <w:r w:rsidR="001A0271">
        <w:t xml:space="preserve">    </w:t>
      </w:r>
      <w:r>
        <w:t xml:space="preserve">       </w:t>
      </w:r>
      <w:r w:rsidR="001A0271">
        <w:t xml:space="preserve">                  </w:t>
      </w:r>
      <w:r w:rsidR="001A0271" w:rsidRPr="0068416C">
        <w:rPr>
          <w:rFonts w:eastAsia="Arial"/>
          <w:noProof/>
          <w:color w:val="000000"/>
          <w:szCs w:val="20"/>
          <w:lang w:eastAsia="en-CA"/>
        </w:rPr>
        <w:drawing>
          <wp:inline distT="0" distB="0" distL="0" distR="0" wp14:anchorId="6984789B" wp14:editId="1A13BFA2">
            <wp:extent cx="1962785" cy="84772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785" cy="847725"/>
                    </a:xfrm>
                    <a:prstGeom prst="rect">
                      <a:avLst/>
                    </a:prstGeom>
                    <a:noFill/>
                  </pic:spPr>
                </pic:pic>
              </a:graphicData>
            </a:graphic>
          </wp:inline>
        </w:drawing>
      </w:r>
    </w:p>
    <w:p w14:paraId="02AB5DDB" w14:textId="4ACD5EE9" w:rsidR="001A0271" w:rsidRDefault="00EA4EED" w:rsidP="00EA4EED">
      <w:pPr>
        <w:spacing w:line="240" w:lineRule="auto"/>
        <w:jc w:val="left"/>
      </w:pPr>
      <w:r>
        <w:t xml:space="preserve">      </w:t>
      </w:r>
      <w:r w:rsidR="001A0271">
        <w:t xml:space="preserve">(c) </w:t>
      </w:r>
      <w:r w:rsidR="001A0271" w:rsidRPr="001A0271">
        <w:t>Top flange shear joint with UHPC</w:t>
      </w:r>
      <w:r w:rsidR="001A0271">
        <w:t xml:space="preserve">                 (d) </w:t>
      </w:r>
      <w:r w:rsidR="001A0271" w:rsidRPr="001A0271">
        <w:t>Top and bottom flange joints with full-depth UHPC</w:t>
      </w:r>
    </w:p>
    <w:p w14:paraId="7B4551E6" w14:textId="77777777" w:rsidR="00EA4EED" w:rsidRDefault="00EA4EED" w:rsidP="00EA4EED">
      <w:pPr>
        <w:spacing w:line="240" w:lineRule="auto"/>
        <w:jc w:val="left"/>
      </w:pPr>
    </w:p>
    <w:p w14:paraId="7A9D1ADB" w14:textId="43BEE0D1" w:rsidR="001A0271" w:rsidRDefault="00EA4EED" w:rsidP="00EA4EED">
      <w:pPr>
        <w:spacing w:line="240" w:lineRule="auto"/>
        <w:jc w:val="left"/>
      </w:pPr>
      <w:r>
        <w:t xml:space="preserve">                                                       </w:t>
      </w:r>
      <w:r w:rsidR="001A0271" w:rsidRPr="0068416C">
        <w:rPr>
          <w:rFonts w:eastAsia="Arial"/>
          <w:noProof/>
          <w:color w:val="000000"/>
          <w:szCs w:val="20"/>
          <w:lang w:eastAsia="en-CA"/>
        </w:rPr>
        <w:drawing>
          <wp:inline distT="0" distB="0" distL="0" distR="0" wp14:anchorId="797C8485" wp14:editId="38F4D0D6">
            <wp:extent cx="1896110" cy="853440"/>
            <wp:effectExtent l="0" t="0" r="8890" b="38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853440"/>
                    </a:xfrm>
                    <a:prstGeom prst="rect">
                      <a:avLst/>
                    </a:prstGeom>
                    <a:noFill/>
                  </pic:spPr>
                </pic:pic>
              </a:graphicData>
            </a:graphic>
          </wp:inline>
        </w:drawing>
      </w:r>
    </w:p>
    <w:p w14:paraId="27207A27" w14:textId="292685B2" w:rsidR="001A0271" w:rsidRDefault="001A0271" w:rsidP="00EA4EED">
      <w:pPr>
        <w:spacing w:line="240" w:lineRule="auto"/>
        <w:jc w:val="center"/>
      </w:pPr>
      <w:r>
        <w:t xml:space="preserve">(e)  </w:t>
      </w:r>
      <w:r w:rsidRPr="001A0271">
        <w:t>Top flange flexural-shear joint filled with conventional grout</w:t>
      </w:r>
    </w:p>
    <w:p w14:paraId="67C1DB97" w14:textId="7C5D7A37" w:rsidR="00EA0A35" w:rsidRDefault="00ED3F78" w:rsidP="00EA4EED">
      <w:pPr>
        <w:pStyle w:val="Caption"/>
        <w:spacing w:before="200" w:after="0"/>
      </w:pPr>
      <w:r>
        <w:t xml:space="preserve">Figure </w:t>
      </w:r>
      <w:r w:rsidR="00202055">
        <w:rPr>
          <w:noProof/>
        </w:rPr>
        <w:fldChar w:fldCharType="begin"/>
      </w:r>
      <w:r w:rsidR="00202055">
        <w:rPr>
          <w:noProof/>
        </w:rPr>
        <w:instrText xml:space="preserve"> SEQ Figure \* ARABIC </w:instrText>
      </w:r>
      <w:r w:rsidR="00202055">
        <w:rPr>
          <w:noProof/>
        </w:rPr>
        <w:fldChar w:fldCharType="separate"/>
      </w:r>
      <w:r w:rsidR="00984D23">
        <w:rPr>
          <w:noProof/>
        </w:rPr>
        <w:t>2</w:t>
      </w:r>
      <w:r w:rsidR="00202055">
        <w:rPr>
          <w:noProof/>
        </w:rPr>
        <w:fldChar w:fldCharType="end"/>
      </w:r>
      <w:r w:rsidR="00D51EDB">
        <w:rPr>
          <w:noProof/>
        </w:rPr>
        <w:t>: Various</w:t>
      </w:r>
      <w:r w:rsidR="00F04A15">
        <w:rPr>
          <w:noProof/>
        </w:rPr>
        <w:t xml:space="preserve"> joint detail</w:t>
      </w:r>
      <w:r w:rsidR="00EA4EED">
        <w:rPr>
          <w:noProof/>
        </w:rPr>
        <w:t>s between adjacent box beams</w:t>
      </w:r>
    </w:p>
    <w:p w14:paraId="1FDCAAE5" w14:textId="22F4AAB7" w:rsidR="00B13AD3" w:rsidRDefault="00EA4EED" w:rsidP="00894E19">
      <w:pPr>
        <w:spacing w:before="240" w:line="240" w:lineRule="auto"/>
      </w:pPr>
      <w:r w:rsidRPr="008A0358">
        <w:t xml:space="preserve">Lopez de Murphy et al. </w:t>
      </w:r>
      <w:r>
        <w:t>(</w:t>
      </w:r>
      <w:r w:rsidRPr="008A0358">
        <w:t>2010</w:t>
      </w:r>
      <w:r>
        <w:t xml:space="preserve">) showed that employing a </w:t>
      </w:r>
      <w:r w:rsidRPr="00B7264A">
        <w:t>full-depth shear key with conventional grout</w:t>
      </w:r>
      <w:r>
        <w:t xml:space="preserve"> as illustrated in</w:t>
      </w:r>
      <w:r w:rsidRPr="00B7264A">
        <w:t xml:space="preserve"> Figure 2(b) </w:t>
      </w:r>
      <w:r>
        <w:t>can be a solution to</w:t>
      </w:r>
      <w:r w:rsidRPr="00B7264A">
        <w:t xml:space="preserve"> shear key cracking</w:t>
      </w:r>
      <w:r>
        <w:t xml:space="preserve"> problem given the fact that the partial shear key employed in bridge cross-section as shown in Figure 1(a). </w:t>
      </w:r>
      <w:r w:rsidR="006C5AE8">
        <w:t xml:space="preserve">Also, </w:t>
      </w:r>
      <w:r>
        <w:t>the</w:t>
      </w:r>
      <w:r w:rsidRPr="00B7264A">
        <w:t xml:space="preserve"> transverse posttensioning </w:t>
      </w:r>
      <w:r w:rsidR="006C5AE8">
        <w:t xml:space="preserve">(PT) </w:t>
      </w:r>
      <w:r w:rsidRPr="00B7264A">
        <w:t>force in Figure</w:t>
      </w:r>
      <w:r w:rsidR="006C5AE8">
        <w:t>s</w:t>
      </w:r>
      <w:r w:rsidRPr="00B7264A">
        <w:t xml:space="preserve"> 2(a) and </w:t>
      </w:r>
      <w:r w:rsidR="006C5AE8">
        <w:t>2</w:t>
      </w:r>
      <w:r w:rsidRPr="00B7264A">
        <w:t xml:space="preserve">(b), if well distributed along the connection, could enhance shear key strength. Nevertheless, </w:t>
      </w:r>
      <w:r w:rsidR="006C5AE8">
        <w:t>PT</w:t>
      </w:r>
      <w:r w:rsidRPr="00B7264A">
        <w:t xml:space="preserve"> cannot prevent tensile </w:t>
      </w:r>
      <w:r w:rsidR="006C5AE8">
        <w:t>stresses</w:t>
      </w:r>
      <w:r w:rsidRPr="00B7264A">
        <w:t xml:space="preserve"> between box girders</w:t>
      </w:r>
      <w:r w:rsidR="006C5AE8">
        <w:t xml:space="preserve">. As a result, </w:t>
      </w:r>
      <w:r w:rsidRPr="00B7264A">
        <w:t xml:space="preserve">connection deterioration </w:t>
      </w:r>
      <w:r>
        <w:t>occur</w:t>
      </w:r>
      <w:r w:rsidR="006C5AE8">
        <w:t>s</w:t>
      </w:r>
      <w:r w:rsidRPr="00283FAE">
        <w:t xml:space="preserve">. The function of the adjacent box-beam bridges with </w:t>
      </w:r>
      <w:r w:rsidR="006C5AE8">
        <w:t xml:space="preserve">closure strip filled with </w:t>
      </w:r>
      <w:r w:rsidRPr="00283FAE">
        <w:t>UHPC can improve the tensile capacity on shear joints</w:t>
      </w:r>
      <w:r w:rsidR="006C5AE8">
        <w:t xml:space="preserve"> and increase joint durability compared to the conventional non-shrink grout.</w:t>
      </w:r>
      <w:r w:rsidRPr="00283FAE">
        <w:t xml:space="preserve">  The lap-spliced steel reinforcement which used within UHPC connection design can </w:t>
      </w:r>
      <w:r w:rsidR="006C5AE8">
        <w:t xml:space="preserve">make the joint </w:t>
      </w:r>
      <w:r w:rsidRPr="00283FAE">
        <w:t xml:space="preserve">behave as continuously reinforced; thus, </w:t>
      </w:r>
      <w:r>
        <w:t>it can result in larger l</w:t>
      </w:r>
      <w:r w:rsidRPr="00283FAE">
        <w:t xml:space="preserve">ocal shear and tensile strengths, and </w:t>
      </w:r>
      <w:r>
        <w:t xml:space="preserve">reduced crack width </w:t>
      </w:r>
      <w:r>
        <w:fldChar w:fldCharType="begin"/>
      </w:r>
      <w:r>
        <w:instrText xml:space="preserve"> ADDIN ZOTERO_ITEM CSL_CITATION {"citationID":"x8HYRF94","properties":{"formattedCitation":"(Yuan Jiqiu and Graybeal Benjamin 2016)","plainCitation":"(Yuan Jiqiu and Graybeal Benjamin 2016)","noteIndex":0},"citationItems":[{"id":11,"uris":["http://zotero.org/users/local/HDomOMEv/items/SB3N47KG"],"uri":["http://zotero.org/users/local/HDomOMEv/items/SB3N47KG"],"itemData":{"id":11,"type":"article-journal","title":"Full-Scale Testing of Shear Key Details for Precast Concrete Box-Beam Bridges","container-title":"Journal of Bridge Engineering","page":"04016043","volume":"21","issue":"9","source":"ascelibrary.org (Atypon)","DOI":"10.1061/(ASCE)BE.1943-5592.0000906","journalAbbreviation":"Journal of Bridge Engineering","author":[{"literal":"Yuan Jiqiu"},{"literal":"Graybeal Benjamin"}],"issued":{"date-parts":[["2016",9,1]]}}}],"schema":"https://github.com/citation-style-language/schema/raw/master/csl-citation.json"} </w:instrText>
      </w:r>
      <w:r>
        <w:fldChar w:fldCharType="separate"/>
      </w:r>
      <w:r w:rsidRPr="003A05DD">
        <w:rPr>
          <w:rFonts w:cs="Arial"/>
        </w:rPr>
        <w:t>(Yuan and Graybeal</w:t>
      </w:r>
      <w:r w:rsidR="006C5AE8">
        <w:rPr>
          <w:rFonts w:cs="Arial"/>
        </w:rPr>
        <w:t xml:space="preserve"> </w:t>
      </w:r>
      <w:r w:rsidRPr="003A05DD">
        <w:rPr>
          <w:rFonts w:cs="Arial"/>
        </w:rPr>
        <w:t>2016)</w:t>
      </w:r>
      <w:r>
        <w:fldChar w:fldCharType="end"/>
      </w:r>
      <w:r>
        <w:t>.</w:t>
      </w:r>
      <w:r w:rsidR="00E04EE4">
        <w:t xml:space="preserve"> </w:t>
      </w:r>
      <w:r w:rsidR="00B13AD3">
        <w:t xml:space="preserve">As elaborated earlier, a perfect shear key </w:t>
      </w:r>
      <w:r w:rsidR="00EE3B1F">
        <w:t>sha</w:t>
      </w:r>
      <w:r w:rsidR="00CB674B">
        <w:t>ll be able to transfer the transverse shear (</w:t>
      </w:r>
      <w:proofErr w:type="spellStart"/>
      <w:r w:rsidR="00CB674B">
        <w:t>V</w:t>
      </w:r>
      <w:r w:rsidR="00CB674B" w:rsidRPr="00CB674B">
        <w:rPr>
          <w:vertAlign w:val="subscript"/>
        </w:rPr>
        <w:t>y</w:t>
      </w:r>
      <w:proofErr w:type="spellEnd"/>
      <w:r w:rsidR="00CB674B">
        <w:t xml:space="preserve">) from one box girder to another, so determining </w:t>
      </w:r>
      <w:proofErr w:type="spellStart"/>
      <w:r w:rsidR="00CB674B">
        <w:t>V</w:t>
      </w:r>
      <w:r w:rsidR="00CB674B" w:rsidRPr="00CB674B">
        <w:rPr>
          <w:vertAlign w:val="subscript"/>
        </w:rPr>
        <w:t>y</w:t>
      </w:r>
      <w:proofErr w:type="spellEnd"/>
      <w:r w:rsidR="00CB674B">
        <w:t xml:space="preserve"> </w:t>
      </w:r>
      <w:r w:rsidR="00E04EE4">
        <w:t xml:space="preserve">values </w:t>
      </w:r>
      <w:r w:rsidR="00CB674B">
        <w:t xml:space="preserve">to design shear keys is a very important task </w:t>
      </w:r>
      <w:r w:rsidR="00E04EE4">
        <w:t>for</w:t>
      </w:r>
      <w:r w:rsidR="00CB674B">
        <w:t xml:space="preserve"> designers. In the past, the design of shear keys occurred through empirical methods, however Bakht et al</w:t>
      </w:r>
      <w:r w:rsidR="00E04EE4">
        <w:t xml:space="preserve"> (</w:t>
      </w:r>
      <w:r w:rsidR="00CB674B">
        <w:t>1983</w:t>
      </w:r>
      <w:r w:rsidR="00E04EE4">
        <w:t>)</w:t>
      </w:r>
      <w:r w:rsidR="00CB674B">
        <w:t xml:space="preserve"> provided a simplified method to calculate </w:t>
      </w:r>
      <w:proofErr w:type="spellStart"/>
      <w:r w:rsidR="00CB674B">
        <w:t>V</w:t>
      </w:r>
      <w:r w:rsidR="00CB674B" w:rsidRPr="00CB674B">
        <w:rPr>
          <w:vertAlign w:val="subscript"/>
        </w:rPr>
        <w:t>y</w:t>
      </w:r>
      <w:proofErr w:type="spellEnd"/>
      <w:r w:rsidR="00CB674B">
        <w:t xml:space="preserve"> based on </w:t>
      </w:r>
      <w:r w:rsidR="00E04EE4">
        <w:t xml:space="preserve">the </w:t>
      </w:r>
      <w:r w:rsidR="003A05DD">
        <w:t>O</w:t>
      </w:r>
      <w:r w:rsidR="00CB674B">
        <w:t xml:space="preserve">rthotropic </w:t>
      </w:r>
      <w:r w:rsidR="003A05DD">
        <w:t>P</w:t>
      </w:r>
      <w:r w:rsidR="00CB674B">
        <w:t xml:space="preserve">late </w:t>
      </w:r>
      <w:r w:rsidR="003A05DD">
        <w:t>T</w:t>
      </w:r>
      <w:r w:rsidR="00CB674B">
        <w:t xml:space="preserve">heory. </w:t>
      </w:r>
      <w:r w:rsidR="00E04EE4">
        <w:t>Their study led to the s</w:t>
      </w:r>
      <w:r w:rsidR="008C734F">
        <w:t xml:space="preserve">implified method </w:t>
      </w:r>
      <w:r w:rsidR="00E04EE4">
        <w:t xml:space="preserve">specified in CHBDC of 2014 </w:t>
      </w:r>
      <w:r w:rsidR="008C734F">
        <w:t xml:space="preserve">to determine the </w:t>
      </w:r>
      <w:r w:rsidR="00922F03">
        <w:t>transverse</w:t>
      </w:r>
      <w:r w:rsidR="008C734F">
        <w:t xml:space="preserve"> shear intensity, </w:t>
      </w:r>
      <w:proofErr w:type="spellStart"/>
      <w:r w:rsidR="008C734F">
        <w:t>V</w:t>
      </w:r>
      <w:r w:rsidR="008C734F" w:rsidRPr="008C734F">
        <w:rPr>
          <w:vertAlign w:val="subscript"/>
        </w:rPr>
        <w:t>y</w:t>
      </w:r>
      <w:proofErr w:type="spellEnd"/>
      <w:r w:rsidR="008C734F">
        <w:t xml:space="preserve">, is built on the study by </w:t>
      </w:r>
      <w:r w:rsidR="008C734F" w:rsidRPr="008C734F">
        <w:t>Bakht et al, 1983</w:t>
      </w:r>
      <w:r w:rsidR="008C734F">
        <w:t xml:space="preserve"> as well.</w:t>
      </w:r>
      <w:r w:rsidR="00E04EE4">
        <w:t xml:space="preserve"> </w:t>
      </w:r>
    </w:p>
    <w:p w14:paraId="105BE959" w14:textId="0CFAB444" w:rsidR="00E04EE4" w:rsidRPr="00CB674B" w:rsidRDefault="00E04EE4" w:rsidP="00E04EE4">
      <w:pPr>
        <w:spacing w:line="240" w:lineRule="auto"/>
      </w:pPr>
      <w:r>
        <w:t xml:space="preserve">This paper presents a summary of previous work to determine the transverse shear force between shear-connected beams, followed by the description of the sensitivity and parametric studies considered by the authors to developed new </w:t>
      </w:r>
      <w:proofErr w:type="spellStart"/>
      <w:r>
        <w:t>V</w:t>
      </w:r>
      <w:r w:rsidRPr="00E04EE4">
        <w:rPr>
          <w:vertAlign w:val="subscript"/>
        </w:rPr>
        <w:t>y</w:t>
      </w:r>
      <w:proofErr w:type="spellEnd"/>
      <w:r w:rsidRPr="00E04EE4">
        <w:rPr>
          <w:vertAlign w:val="subscript"/>
        </w:rPr>
        <w:t xml:space="preserve"> </w:t>
      </w:r>
      <w:r>
        <w:t>charts with greater scope and applicability than those specified in CHBDC.</w:t>
      </w:r>
    </w:p>
    <w:p w14:paraId="08E25B37" w14:textId="688449B1" w:rsidR="00E04EE4" w:rsidRPr="00E04EE4" w:rsidRDefault="00E04EE4" w:rsidP="00EA5B0A">
      <w:pPr>
        <w:pStyle w:val="Heading1"/>
      </w:pPr>
      <w:r w:rsidRPr="00E04EE4">
        <w:t>AVAILABLE LITERATURE ON THE CALCULATION OF TRANVERSE SHEAR IN BOX BEAMS</w:t>
      </w:r>
    </w:p>
    <w:p w14:paraId="337104B0" w14:textId="727D3EE2" w:rsidR="00B461E5" w:rsidRDefault="00577CC7" w:rsidP="00722957">
      <w:pPr>
        <w:spacing w:before="200" w:after="0" w:line="240" w:lineRule="auto"/>
      </w:pPr>
      <w:r w:rsidRPr="00B76073">
        <w:t>Bakht et al</w:t>
      </w:r>
      <w:r w:rsidR="00E04EE4">
        <w:t>.</w:t>
      </w:r>
      <w:r w:rsidRPr="00B76073">
        <w:t xml:space="preserve"> (</w:t>
      </w:r>
      <w:r w:rsidR="007F442E" w:rsidRPr="00B76073">
        <w:t xml:space="preserve">1983) </w:t>
      </w:r>
      <w:r w:rsidR="000025DC">
        <w:t xml:space="preserve">conducted structural analysis of shear-connected beams to </w:t>
      </w:r>
      <w:r w:rsidR="007F442E" w:rsidRPr="00B76073">
        <w:t>develop charts to determine maximum transverse shear (</w:t>
      </w:r>
      <w:proofErr w:type="spellStart"/>
      <w:r w:rsidR="007F442E" w:rsidRPr="00B76073">
        <w:t>V</w:t>
      </w:r>
      <w:r w:rsidR="007F442E" w:rsidRPr="003A05DD">
        <w:rPr>
          <w:vertAlign w:val="subscript"/>
        </w:rPr>
        <w:t>y</w:t>
      </w:r>
      <w:proofErr w:type="spellEnd"/>
      <w:r w:rsidR="007F442E" w:rsidRPr="00B76073">
        <w:t>) for four various bridge widths</w:t>
      </w:r>
      <w:r w:rsidR="000025DC">
        <w:t xml:space="preserve">, namely: 7.5, 10, 12.5 and 15 m and flexural-torsion parameter, </w:t>
      </w:r>
      <w:r w:rsidR="000025DC">
        <w:rPr>
          <w:rFonts w:cs="Arial"/>
        </w:rPr>
        <w:t>β, ranging from 0.2 to 2</w:t>
      </w:r>
      <w:r w:rsidR="007F442E" w:rsidRPr="00B76073">
        <w:t xml:space="preserve">. </w:t>
      </w:r>
      <w:r w:rsidR="000025DC">
        <w:t xml:space="preserve">The bridges </w:t>
      </w:r>
      <w:r w:rsidR="0071627D">
        <w:t xml:space="preserve">were </w:t>
      </w:r>
      <w:r w:rsidR="000025DC">
        <w:t xml:space="preserve">analysed using </w:t>
      </w:r>
      <w:r w:rsidR="0071627D">
        <w:t>the O</w:t>
      </w:r>
      <w:r w:rsidR="000025DC">
        <w:t xml:space="preserve">rthotropic </w:t>
      </w:r>
      <w:r w:rsidR="0071627D">
        <w:t>P</w:t>
      </w:r>
      <w:r w:rsidR="000025DC">
        <w:t xml:space="preserve">late </w:t>
      </w:r>
      <w:r w:rsidR="0071627D">
        <w:t>T</w:t>
      </w:r>
      <w:r w:rsidR="000025DC">
        <w:t>heory</w:t>
      </w:r>
      <w:r w:rsidR="0071627D">
        <w:t xml:space="preserve">, </w:t>
      </w:r>
      <w:r w:rsidR="000025DC">
        <w:t xml:space="preserve">employing PLATO program which </w:t>
      </w:r>
      <w:r w:rsidR="0071627D">
        <w:t>wa</w:t>
      </w:r>
      <w:r w:rsidR="000025DC">
        <w:t xml:space="preserve">s developed based on this theory by </w:t>
      </w:r>
      <w:r w:rsidR="000025DC" w:rsidRPr="00BB7769">
        <w:t>(Bakht et al., 200</w:t>
      </w:r>
      <w:r w:rsidR="00BB7769" w:rsidRPr="00BB7769">
        <w:t>3</w:t>
      </w:r>
      <w:r w:rsidR="000025DC" w:rsidRPr="00BB7769">
        <w:t>).</w:t>
      </w:r>
      <w:r w:rsidR="000025DC">
        <w:t xml:space="preserve"> This program </w:t>
      </w:r>
      <w:r w:rsidR="003B1AA3">
        <w:lastRenderedPageBreak/>
        <w:t>wa</w:t>
      </w:r>
      <w:r w:rsidR="000025DC">
        <w:t>s written in FORTRAN90 and</w:t>
      </w:r>
      <w:r w:rsidR="004B602E">
        <w:t xml:space="preserve"> has the</w:t>
      </w:r>
      <w:r w:rsidR="000025DC">
        <w:t xml:space="preserve"> capability to install on WINDOWS operating systems. The behaviour of orthotropic plate that the PLATO built on, is defined by an expression proposed by </w:t>
      </w:r>
      <w:proofErr w:type="spellStart"/>
      <w:r w:rsidR="000025DC">
        <w:t>C</w:t>
      </w:r>
      <w:r w:rsidR="004B602E">
        <w:t>usens</w:t>
      </w:r>
      <w:proofErr w:type="spellEnd"/>
      <w:r w:rsidR="004B602E">
        <w:t xml:space="preserve"> and </w:t>
      </w:r>
      <w:proofErr w:type="spellStart"/>
      <w:r w:rsidR="000025DC">
        <w:t>Pama</w:t>
      </w:r>
      <w:proofErr w:type="spellEnd"/>
      <w:r w:rsidR="000025DC">
        <w:t xml:space="preserve"> (1975) as follows:</w:t>
      </w:r>
    </w:p>
    <w:p w14:paraId="5276138C" w14:textId="77777777" w:rsidR="00B461E5" w:rsidRPr="00B461E5" w:rsidRDefault="00B461E5" w:rsidP="00722957">
      <w:pPr>
        <w:spacing w:before="200" w:after="0" w:line="240" w:lineRule="auto"/>
        <w:jc w:val="left"/>
        <w:rPr>
          <w:sz w:val="22"/>
        </w:rPr>
      </w:pPr>
      <w:r w:rsidRPr="00B461E5">
        <w:t>[1]</w:t>
      </w:r>
      <w:r>
        <w:t xml:space="preserve"> </w:t>
      </w:r>
      <m:oMath>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 xml:space="preserve">x </m:t>
            </m:r>
          </m:sub>
        </m:sSub>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4</m:t>
                </m:r>
              </m:sup>
            </m:sSup>
            <m:r>
              <w:rPr>
                <w:rFonts w:ascii="Cambria Math" w:hAnsi="Cambria Math" w:cs="Arial"/>
                <w:sz w:val="24"/>
                <w:szCs w:val="24"/>
              </w:rPr>
              <m:t>w</m:t>
            </m:r>
          </m:num>
          <m:den>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4</m:t>
                </m:r>
              </m:sup>
            </m:sSup>
          </m:den>
        </m:f>
        <m:r>
          <w:rPr>
            <w:rFonts w:ascii="Cambria Math" w:hAnsi="Cambria Math" w:cs="Arial"/>
            <w:sz w:val="24"/>
            <w:szCs w:val="24"/>
          </w:rPr>
          <m:t>+2H</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4</m:t>
                </m:r>
              </m:sup>
            </m:sSup>
            <m:r>
              <w:rPr>
                <w:rFonts w:ascii="Cambria Math" w:hAnsi="Cambria Math" w:cs="Arial"/>
                <w:sz w:val="24"/>
                <w:szCs w:val="24"/>
              </w:rPr>
              <m:t>w</m:t>
            </m:r>
          </m:num>
          <m:den>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den>
        </m:f>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y</m:t>
            </m:r>
          </m:sub>
        </m:sSub>
        <m:r>
          <w:rPr>
            <w:rFonts w:ascii="Cambria Math" w:hAnsi="Cambria Math" w:cs="Arial"/>
            <w:sz w:val="24"/>
            <w:szCs w:val="24"/>
          </w:rPr>
          <m:t xml:space="preserve"> </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4</m:t>
                </m:r>
              </m:sup>
            </m:sSup>
            <m:r>
              <w:rPr>
                <w:rFonts w:ascii="Cambria Math" w:hAnsi="Cambria Math" w:cs="Arial"/>
                <w:sz w:val="24"/>
                <w:szCs w:val="24"/>
              </w:rPr>
              <m:t>w</m:t>
            </m:r>
          </m:num>
          <m:den>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4</m:t>
                </m:r>
              </m:sup>
            </m:sSup>
          </m:den>
        </m:f>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x,y</m:t>
            </m:r>
          </m:e>
        </m:d>
      </m:oMath>
    </w:p>
    <w:p w14:paraId="216A1E38" w14:textId="1C610E80" w:rsidR="00E97081" w:rsidRPr="00B461E5" w:rsidRDefault="00E97081" w:rsidP="00B461E5">
      <w:pPr>
        <w:spacing w:line="240" w:lineRule="auto"/>
        <w:jc w:val="left"/>
        <w:rPr>
          <w:sz w:val="22"/>
        </w:rPr>
      </w:pPr>
      <w:r>
        <w:rPr>
          <w:rFonts w:cs="Arial"/>
        </w:rPr>
        <w:t>Where D</w:t>
      </w:r>
      <w:r w:rsidRPr="00E97081">
        <w:rPr>
          <w:rFonts w:cs="Arial"/>
          <w:vertAlign w:val="subscript"/>
        </w:rPr>
        <w:t>x</w:t>
      </w:r>
      <w:r>
        <w:rPr>
          <w:rFonts w:cs="Arial"/>
        </w:rPr>
        <w:t xml:space="preserve"> = longitudinal </w:t>
      </w:r>
      <w:r w:rsidRPr="00E97081">
        <w:rPr>
          <w:rFonts w:cs="Arial"/>
        </w:rPr>
        <w:t>bending stiffness</w:t>
      </w:r>
      <w:r>
        <w:rPr>
          <w:rFonts w:cs="Arial"/>
        </w:rPr>
        <w:t>, D</w:t>
      </w:r>
      <w:r w:rsidRPr="00E97081">
        <w:rPr>
          <w:rFonts w:cs="Arial"/>
          <w:vertAlign w:val="subscript"/>
        </w:rPr>
        <w:t>y</w:t>
      </w:r>
      <w:r>
        <w:rPr>
          <w:rFonts w:cs="Arial"/>
        </w:rPr>
        <w:t xml:space="preserve"> = transverse bending stiffness, </w:t>
      </w:r>
      <w:r w:rsidR="00BB7769" w:rsidRPr="00BB7769">
        <w:rPr>
          <w:rFonts w:cs="Arial"/>
        </w:rPr>
        <w:t>2</w:t>
      </w:r>
      <w:r w:rsidRPr="00BB7769">
        <w:rPr>
          <w:rFonts w:cs="Arial"/>
        </w:rPr>
        <w:t xml:space="preserve">H = </w:t>
      </w:r>
      <w:r w:rsidR="00BB7769" w:rsidRPr="00BB7769">
        <w:rPr>
          <w:rFonts w:cs="Arial"/>
        </w:rPr>
        <w:t>total</w:t>
      </w:r>
      <w:r w:rsidR="00BB7769">
        <w:rPr>
          <w:rFonts w:cs="Arial"/>
        </w:rPr>
        <w:t xml:space="preserve"> torsional rigidity of the bridge</w:t>
      </w:r>
      <w:r>
        <w:rPr>
          <w:rFonts w:cs="Arial"/>
        </w:rPr>
        <w:t>, w = beam deflection, and p(</w:t>
      </w:r>
      <w:proofErr w:type="spellStart"/>
      <w:proofErr w:type="gramStart"/>
      <w:r>
        <w:rPr>
          <w:rFonts w:cs="Arial"/>
        </w:rPr>
        <w:t>x,y</w:t>
      </w:r>
      <w:proofErr w:type="spellEnd"/>
      <w:proofErr w:type="gramEnd"/>
      <w:r>
        <w:rPr>
          <w:rFonts w:cs="Arial"/>
        </w:rPr>
        <w:t xml:space="preserve">) = applied loading.  </w:t>
      </w:r>
    </w:p>
    <w:p w14:paraId="78FF84D2" w14:textId="77777777" w:rsidR="00B461E5" w:rsidRDefault="000025DC" w:rsidP="00722957">
      <w:pPr>
        <w:pStyle w:val="BodyText"/>
        <w:rPr>
          <w:rFonts w:asciiTheme="minorBidi" w:hAnsiTheme="minorBidi" w:cstheme="minorBidi"/>
          <w:sz w:val="20"/>
        </w:rPr>
      </w:pPr>
      <w:r>
        <w:rPr>
          <w:rFonts w:cs="Arial"/>
          <w:sz w:val="20"/>
        </w:rPr>
        <w:t>The exact solution of this forth order partial differential equation relies on the relative torsi</w:t>
      </w:r>
      <w:r w:rsidR="00AC07D4">
        <w:rPr>
          <w:rFonts w:cs="Arial"/>
          <w:sz w:val="20"/>
        </w:rPr>
        <w:t>onal and flexural rigidities. Equation [1] c</w:t>
      </w:r>
      <w:r>
        <w:rPr>
          <w:rFonts w:cs="Arial"/>
          <w:sz w:val="20"/>
        </w:rPr>
        <w:t xml:space="preserve">an be utilized to each individual patch loads as well as uniformly distributed load over the whole area of bridge deck slab </w:t>
      </w:r>
      <w:r w:rsidRPr="00A07A05">
        <w:rPr>
          <w:rFonts w:asciiTheme="minorBidi" w:hAnsiTheme="minorBidi" w:cstheme="minorBidi"/>
          <w:sz w:val="20"/>
        </w:rPr>
        <w:fldChar w:fldCharType="begin"/>
      </w:r>
      <w:r w:rsidRPr="00A07A05">
        <w:rPr>
          <w:rFonts w:asciiTheme="minorBidi" w:hAnsiTheme="minorBidi" w:cstheme="minorBidi"/>
          <w:sz w:val="20"/>
        </w:rPr>
        <w:instrText xml:space="preserve"> ADDIN ZOTERO_ITEM CSL_CITATION {"citationID":"kX0FrE9Y","properties":{"formattedCitation":"(Bakht and Mufti 2015)","plainCitation":"(Bakht and Mufti 2015)","noteIndex":0},"citationItems":[{"id":24,"uris":["http://zotero.org/users/local/HDomOMEv/items/3P9PAJVK"],"uri":["http://zotero.org/users/local/HDomOMEv/items/3P9PAJVK"],"itemData":{"id":24,"type":"book","title":"Bridges: Analysis, Design, Structural Health Monitoring, and Rehabilitation","publisher":"Springer","number-of-pages":"434","source":"Google Books","abstract":"This book offers a valuable guide for practicing bridge engineers and graduate students in structural engineering; its main purpose is to present the latest concepts in bridge engineering in fairly easy-to-follow terms.The book provides details of easy-to-use computer programs for:· Analysing slab-on-girder bridges for live load distribution.· Analysing slab and other solid bridge components for live load distribution.· Analysing and designing concrete deck slab overhangs of girder bridges under vehicular loads.· Determining the failure loads of concrete deck slabs of girder bridges under concentrated wheel loads.In addition, the book includes extensive chapters dealing with the design of wood bridges and soil-steel bridges. Further, a unique chapter on structural health monitoring (SHM) will help bridge engineers determine the actual load carrying capacities of bridges, as opposed to their perceived analytical capacities.The chapter addressing structures made with fibre-reinforced polymers will allow engineers to design highly durable, economical and sustainable structures. This chapter also provides guidance on rehabilitating deteriorated structures with these new materials.The book also deals with the philosophy of bridge design without resorting to complex equations.Additional material to this book can be downloaded from http://extras.springer.com","ISBN":"978-3-319-17843-1","shortTitle":"Bridges","language":"en","author":[{"family":"Bakht","given":"Baidar"},{"family":"Mufti","given":"Aftab"}],"issued":{"date-parts":[["2015",10,9]]}}}],"schema":"https://github.com/citation-style-language/schema/raw/master/csl-citation.json"} </w:instrText>
      </w:r>
      <w:r w:rsidRPr="00A07A05">
        <w:rPr>
          <w:rFonts w:asciiTheme="minorBidi" w:hAnsiTheme="minorBidi" w:cstheme="minorBidi"/>
          <w:sz w:val="20"/>
        </w:rPr>
        <w:fldChar w:fldCharType="separate"/>
      </w:r>
      <w:r w:rsidRPr="00A07A05">
        <w:rPr>
          <w:rFonts w:asciiTheme="minorBidi" w:hAnsiTheme="minorBidi" w:cstheme="minorBidi"/>
          <w:sz w:val="20"/>
        </w:rPr>
        <w:t>(Bakht and Mufti 2015)</w:t>
      </w:r>
      <w:r w:rsidRPr="00A07A05">
        <w:rPr>
          <w:rFonts w:asciiTheme="minorBidi" w:hAnsiTheme="minorBidi" w:cstheme="minorBidi"/>
          <w:sz w:val="20"/>
        </w:rPr>
        <w:fldChar w:fldCharType="end"/>
      </w:r>
      <w:r w:rsidRPr="00A07A05">
        <w:rPr>
          <w:rFonts w:asciiTheme="minorBidi" w:hAnsiTheme="minorBidi" w:cstheme="minorBidi"/>
          <w:sz w:val="20"/>
        </w:rPr>
        <w:t>.</w:t>
      </w:r>
      <w:r w:rsidR="00A07A05">
        <w:rPr>
          <w:rFonts w:asciiTheme="minorBidi" w:hAnsiTheme="minorBidi" w:cstheme="minorBidi"/>
          <w:sz w:val="20"/>
        </w:rPr>
        <w:t xml:space="preserve">The analysis conducted by </w:t>
      </w:r>
      <w:r w:rsidR="00A07A05" w:rsidRPr="00A07A05">
        <w:rPr>
          <w:rFonts w:asciiTheme="minorBidi" w:hAnsiTheme="minorBidi" w:cstheme="minorBidi"/>
          <w:sz w:val="20"/>
        </w:rPr>
        <w:t xml:space="preserve">Bakht et al. (1983) </w:t>
      </w:r>
      <w:r w:rsidR="00A07A05">
        <w:rPr>
          <w:rFonts w:asciiTheme="minorBidi" w:hAnsiTheme="minorBidi" w:cstheme="minorBidi"/>
          <w:sz w:val="20"/>
        </w:rPr>
        <w:t xml:space="preserve">resulted in developed </w:t>
      </w:r>
      <w:r w:rsidR="007F442E" w:rsidRPr="00A07A05">
        <w:rPr>
          <w:rFonts w:asciiTheme="minorBidi" w:hAnsiTheme="minorBidi" w:cstheme="minorBidi"/>
          <w:sz w:val="20"/>
        </w:rPr>
        <w:t xml:space="preserve">charts </w:t>
      </w:r>
      <w:r w:rsidR="00A07A05">
        <w:rPr>
          <w:rFonts w:asciiTheme="minorBidi" w:hAnsiTheme="minorBidi" w:cstheme="minorBidi"/>
          <w:sz w:val="20"/>
        </w:rPr>
        <w:t xml:space="preserve">to calculate </w:t>
      </w:r>
      <w:proofErr w:type="spellStart"/>
      <w:r w:rsidR="00A07A05">
        <w:rPr>
          <w:rFonts w:asciiTheme="minorBidi" w:hAnsiTheme="minorBidi" w:cstheme="minorBidi"/>
          <w:sz w:val="20"/>
        </w:rPr>
        <w:t>Vy</w:t>
      </w:r>
      <w:proofErr w:type="spellEnd"/>
      <w:r w:rsidR="00A07A05">
        <w:rPr>
          <w:rFonts w:asciiTheme="minorBidi" w:hAnsiTheme="minorBidi" w:cstheme="minorBidi"/>
          <w:sz w:val="20"/>
        </w:rPr>
        <w:t xml:space="preserve"> for shear-connected beams based on </w:t>
      </w:r>
      <w:r w:rsidR="007F442E" w:rsidRPr="00A07A05">
        <w:rPr>
          <w:rFonts w:asciiTheme="minorBidi" w:hAnsiTheme="minorBidi" w:cstheme="minorBidi"/>
          <w:sz w:val="20"/>
        </w:rPr>
        <w:t>three changeable factors</w:t>
      </w:r>
      <w:r w:rsidR="00A07A05">
        <w:rPr>
          <w:rFonts w:asciiTheme="minorBidi" w:hAnsiTheme="minorBidi" w:cstheme="minorBidi"/>
          <w:sz w:val="20"/>
        </w:rPr>
        <w:t>, namely: flexural-torsion parameter (</w:t>
      </w:r>
      <w:r w:rsidR="007F442E" w:rsidRPr="00A07A05">
        <w:rPr>
          <w:rFonts w:asciiTheme="minorBidi" w:hAnsiTheme="minorBidi" w:cstheme="minorBidi"/>
          <w:sz w:val="20"/>
        </w:rPr>
        <w:t>β</w:t>
      </w:r>
      <w:r w:rsidR="00A07A05">
        <w:rPr>
          <w:rFonts w:asciiTheme="minorBidi" w:hAnsiTheme="minorBidi" w:cstheme="minorBidi"/>
          <w:sz w:val="20"/>
        </w:rPr>
        <w:t>)</w:t>
      </w:r>
      <w:r w:rsidR="007F442E" w:rsidRPr="00A07A05">
        <w:rPr>
          <w:rFonts w:asciiTheme="minorBidi" w:hAnsiTheme="minorBidi" w:cstheme="minorBidi"/>
          <w:sz w:val="20"/>
        </w:rPr>
        <w:t xml:space="preserve">, span length (L), and bridge width (B). The assumption which </w:t>
      </w:r>
      <w:r w:rsidR="00A07A05">
        <w:rPr>
          <w:rFonts w:asciiTheme="minorBidi" w:hAnsiTheme="minorBidi" w:cstheme="minorBidi"/>
          <w:sz w:val="20"/>
        </w:rPr>
        <w:t>wa</w:t>
      </w:r>
      <w:r w:rsidR="007F442E" w:rsidRPr="00A07A05">
        <w:rPr>
          <w:rFonts w:asciiTheme="minorBidi" w:hAnsiTheme="minorBidi" w:cstheme="minorBidi"/>
          <w:sz w:val="20"/>
        </w:rPr>
        <w:t xml:space="preserve">s taken in this study </w:t>
      </w:r>
      <w:r w:rsidR="00831E11" w:rsidRPr="00A07A05">
        <w:rPr>
          <w:rFonts w:asciiTheme="minorBidi" w:hAnsiTheme="minorBidi" w:cstheme="minorBidi"/>
          <w:sz w:val="20"/>
        </w:rPr>
        <w:t>is that the transverse flexural rigidity (D</w:t>
      </w:r>
      <w:r w:rsidR="00831E11" w:rsidRPr="00A07A05">
        <w:rPr>
          <w:rFonts w:asciiTheme="minorBidi" w:hAnsiTheme="minorBidi" w:cstheme="minorBidi"/>
          <w:sz w:val="20"/>
          <w:vertAlign w:val="subscript"/>
        </w:rPr>
        <w:t>y</w:t>
      </w:r>
      <w:r w:rsidR="00831E11" w:rsidRPr="00A07A05">
        <w:rPr>
          <w:rFonts w:asciiTheme="minorBidi" w:hAnsiTheme="minorBidi" w:cstheme="minorBidi"/>
          <w:sz w:val="20"/>
        </w:rPr>
        <w:t>) in multibeam bridges is zero. Instead, the structural response of these ty</w:t>
      </w:r>
      <w:r w:rsidR="00F04A15" w:rsidRPr="00A07A05">
        <w:rPr>
          <w:rFonts w:asciiTheme="minorBidi" w:hAnsiTheme="minorBidi" w:cstheme="minorBidi"/>
          <w:sz w:val="20"/>
        </w:rPr>
        <w:t>p</w:t>
      </w:r>
      <w:r w:rsidR="00831E11" w:rsidRPr="00A07A05">
        <w:rPr>
          <w:rFonts w:asciiTheme="minorBidi" w:hAnsiTheme="minorBidi" w:cstheme="minorBidi"/>
          <w:sz w:val="20"/>
        </w:rPr>
        <w:t>es of bridges depends on a factor β which is defined as follows</w:t>
      </w:r>
      <w:r w:rsidR="004B5D6F">
        <w:rPr>
          <w:rFonts w:asciiTheme="minorBidi" w:hAnsiTheme="minorBidi" w:cstheme="minorBidi"/>
          <w:sz w:val="20"/>
        </w:rPr>
        <w:t>, considering 2b as the bridge width</w:t>
      </w:r>
      <w:r w:rsidR="00831E11" w:rsidRPr="00A07A05">
        <w:rPr>
          <w:rFonts w:asciiTheme="minorBidi" w:hAnsiTheme="minorBidi" w:cstheme="minorBidi"/>
          <w:sz w:val="20"/>
        </w:rPr>
        <w:t>:</w:t>
      </w:r>
    </w:p>
    <w:p w14:paraId="1CBDC3D9" w14:textId="77777777" w:rsidR="00722957" w:rsidRDefault="00B461E5" w:rsidP="00722957">
      <w:pPr>
        <w:pStyle w:val="BodyText"/>
        <w:rPr>
          <w:rFonts w:cs="Arial"/>
          <w:sz w:val="20"/>
        </w:rPr>
      </w:pPr>
      <w:r w:rsidRPr="00B461E5">
        <w:rPr>
          <w:rFonts w:cs="Arial"/>
          <w:sz w:val="20"/>
        </w:rPr>
        <w:t>[2</w:t>
      </w:r>
      <w:r>
        <w:rPr>
          <w:rFonts w:cs="Arial"/>
          <w:sz w:val="20"/>
        </w:rPr>
        <w:t xml:space="preserve">] </w:t>
      </w:r>
      <m:oMath>
        <m:r>
          <w:rPr>
            <w:rFonts w:ascii="Cambria Math" w:eastAsia="Calibri" w:hAnsi="Cambria Math" w:cstheme="minorBidi"/>
            <w:szCs w:val="24"/>
          </w:rPr>
          <m:t xml:space="preserve"> β=π</m:t>
        </m:r>
        <m:d>
          <m:dPr>
            <m:begChr m:val="["/>
            <m:endChr m:val="]"/>
            <m:ctrlPr>
              <w:rPr>
                <w:rFonts w:ascii="Cambria Math" w:eastAsia="Calibri" w:hAnsi="Cambria Math" w:cstheme="minorBidi"/>
                <w:i/>
                <w:szCs w:val="24"/>
              </w:rPr>
            </m:ctrlPr>
          </m:dPr>
          <m:e>
            <m:f>
              <m:fPr>
                <m:ctrlPr>
                  <w:rPr>
                    <w:rFonts w:ascii="Cambria Math" w:eastAsia="Calibri" w:hAnsi="Cambria Math" w:cstheme="minorBidi"/>
                    <w:i/>
                    <w:szCs w:val="24"/>
                  </w:rPr>
                </m:ctrlPr>
              </m:fPr>
              <m:num>
                <m:r>
                  <w:rPr>
                    <w:rFonts w:ascii="Cambria Math" w:eastAsia="Calibri" w:hAnsi="Cambria Math" w:cstheme="minorBidi"/>
                    <w:szCs w:val="24"/>
                  </w:rPr>
                  <m:t>2b</m:t>
                </m:r>
              </m:num>
              <m:den>
                <m:r>
                  <w:rPr>
                    <w:rFonts w:ascii="Cambria Math" w:eastAsia="Calibri" w:hAnsi="Cambria Math" w:cstheme="minorBidi"/>
                    <w:szCs w:val="24"/>
                  </w:rPr>
                  <m:t>L</m:t>
                </m:r>
              </m:den>
            </m:f>
          </m:e>
        </m:d>
        <m:sSup>
          <m:sSupPr>
            <m:ctrlPr>
              <w:rPr>
                <w:rFonts w:ascii="Cambria Math" w:eastAsia="Calibri" w:hAnsi="Cambria Math" w:cstheme="minorBidi"/>
                <w:i/>
                <w:szCs w:val="24"/>
              </w:rPr>
            </m:ctrlPr>
          </m:sSupPr>
          <m:e>
            <m:d>
              <m:dPr>
                <m:begChr m:val="["/>
                <m:endChr m:val="]"/>
                <m:ctrlPr>
                  <w:rPr>
                    <w:rFonts w:ascii="Cambria Math" w:eastAsia="Calibri" w:hAnsi="Cambria Math" w:cstheme="minorBidi"/>
                    <w:i/>
                    <w:szCs w:val="24"/>
                  </w:rPr>
                </m:ctrlPr>
              </m:dPr>
              <m:e>
                <m:f>
                  <m:fPr>
                    <m:ctrlPr>
                      <w:rPr>
                        <w:rFonts w:ascii="Cambria Math" w:eastAsia="Calibri" w:hAnsi="Cambria Math" w:cstheme="minorBidi"/>
                        <w:i/>
                        <w:szCs w:val="24"/>
                      </w:rPr>
                    </m:ctrlPr>
                  </m:fPr>
                  <m:num>
                    <m:sSub>
                      <m:sSubPr>
                        <m:ctrlPr>
                          <w:rPr>
                            <w:rFonts w:ascii="Cambria Math" w:eastAsia="Calibri" w:hAnsi="Cambria Math" w:cstheme="minorBidi"/>
                            <w:i/>
                            <w:szCs w:val="24"/>
                          </w:rPr>
                        </m:ctrlPr>
                      </m:sSubPr>
                      <m:e>
                        <m:r>
                          <w:rPr>
                            <w:rFonts w:ascii="Cambria Math" w:eastAsia="Calibri" w:hAnsi="Cambria Math" w:cstheme="minorBidi"/>
                            <w:szCs w:val="24"/>
                          </w:rPr>
                          <m:t>D</m:t>
                        </m:r>
                      </m:e>
                      <m:sub>
                        <m:r>
                          <w:rPr>
                            <w:rFonts w:ascii="Cambria Math" w:eastAsia="Calibri" w:hAnsi="Cambria Math" w:cstheme="minorBidi"/>
                            <w:szCs w:val="24"/>
                          </w:rPr>
                          <m:t>x</m:t>
                        </m:r>
                      </m:sub>
                    </m:sSub>
                  </m:num>
                  <m:den>
                    <m:sSub>
                      <m:sSubPr>
                        <m:ctrlPr>
                          <w:rPr>
                            <w:rFonts w:ascii="Cambria Math" w:eastAsia="Calibri" w:hAnsi="Cambria Math" w:cstheme="minorBidi"/>
                            <w:i/>
                            <w:szCs w:val="24"/>
                          </w:rPr>
                        </m:ctrlPr>
                      </m:sSubPr>
                      <m:e>
                        <m:r>
                          <w:rPr>
                            <w:rFonts w:ascii="Cambria Math" w:eastAsia="Calibri" w:hAnsi="Cambria Math" w:cstheme="minorBidi"/>
                            <w:szCs w:val="24"/>
                          </w:rPr>
                          <m:t>D</m:t>
                        </m:r>
                      </m:e>
                      <m:sub>
                        <m:r>
                          <w:rPr>
                            <w:rFonts w:ascii="Cambria Math" w:eastAsia="Calibri" w:hAnsi="Cambria Math" w:cstheme="minorBidi"/>
                            <w:szCs w:val="24"/>
                          </w:rPr>
                          <m:t>y</m:t>
                        </m:r>
                      </m:sub>
                    </m:sSub>
                  </m:den>
                </m:f>
              </m:e>
            </m:d>
          </m:e>
          <m:sup>
            <m:r>
              <w:rPr>
                <w:rFonts w:ascii="Cambria Math" w:eastAsia="Calibri" w:hAnsi="Cambria Math" w:cstheme="minorBidi"/>
                <w:szCs w:val="24"/>
              </w:rPr>
              <m:t>0.5</m:t>
            </m:r>
          </m:sup>
        </m:sSup>
      </m:oMath>
    </w:p>
    <w:p w14:paraId="3C7C82CA" w14:textId="3168CE44" w:rsidR="00EA0A35" w:rsidRPr="00B461E5" w:rsidRDefault="004B5D6F" w:rsidP="00722957">
      <w:pPr>
        <w:pStyle w:val="BodyText"/>
        <w:rPr>
          <w:rFonts w:cs="Arial"/>
          <w:sz w:val="20"/>
        </w:rPr>
      </w:pPr>
      <w:r>
        <w:rPr>
          <w:rFonts w:cs="Arial"/>
          <w:sz w:val="20"/>
        </w:rPr>
        <w:t xml:space="preserve">The above-mentioned charts were first developed based on the Ontario truck </w:t>
      </w:r>
      <w:r w:rsidR="00B17C4E">
        <w:rPr>
          <w:rFonts w:cs="Arial"/>
          <w:sz w:val="20"/>
        </w:rPr>
        <w:t>(</w:t>
      </w:r>
      <w:r w:rsidR="00501F53">
        <w:rPr>
          <w:rFonts w:cs="Arial"/>
          <w:sz w:val="20"/>
        </w:rPr>
        <w:t>OHBDC vehicle</w:t>
      </w:r>
      <w:r w:rsidR="00B17C4E">
        <w:rPr>
          <w:rFonts w:cs="Arial"/>
          <w:sz w:val="20"/>
        </w:rPr>
        <w:t xml:space="preserve">) with total weight of 700 </w:t>
      </w:r>
      <w:proofErr w:type="spellStart"/>
      <w:r w:rsidR="00B17C4E">
        <w:rPr>
          <w:rFonts w:cs="Arial"/>
          <w:sz w:val="20"/>
        </w:rPr>
        <w:t>kN</w:t>
      </w:r>
      <w:proofErr w:type="spellEnd"/>
      <w:r w:rsidR="00B17C4E">
        <w:rPr>
          <w:rFonts w:cs="Arial"/>
          <w:sz w:val="20"/>
        </w:rPr>
        <w:t xml:space="preserve"> and weight of axle no. 4 as 200 </w:t>
      </w:r>
      <w:proofErr w:type="spellStart"/>
      <w:r w:rsidR="00B17C4E">
        <w:rPr>
          <w:rFonts w:cs="Arial"/>
          <w:sz w:val="20"/>
        </w:rPr>
        <w:t>kN.</w:t>
      </w:r>
      <w:proofErr w:type="spellEnd"/>
      <w:r w:rsidR="00B17C4E">
        <w:rPr>
          <w:rFonts w:cs="Arial"/>
          <w:sz w:val="20"/>
        </w:rPr>
        <w:t xml:space="preserve"> Bakht et al. (198</w:t>
      </w:r>
      <w:r w:rsidR="000B3758">
        <w:rPr>
          <w:rFonts w:cs="Arial"/>
          <w:sz w:val="20"/>
        </w:rPr>
        <w:t>3</w:t>
      </w:r>
      <w:r w:rsidR="00B17C4E">
        <w:rPr>
          <w:rFonts w:cs="Arial"/>
          <w:sz w:val="20"/>
        </w:rPr>
        <w:t xml:space="preserve">) concluded that </w:t>
      </w:r>
      <w:r w:rsidR="00501F53">
        <w:rPr>
          <w:rFonts w:cs="Arial"/>
          <w:sz w:val="20"/>
        </w:rPr>
        <w:t xml:space="preserve">the maximum </w:t>
      </w:r>
      <w:proofErr w:type="spellStart"/>
      <w:r w:rsidR="00501F53">
        <w:rPr>
          <w:rFonts w:cs="Arial"/>
          <w:sz w:val="20"/>
        </w:rPr>
        <w:t>V</w:t>
      </w:r>
      <w:r w:rsidR="00501F53" w:rsidRPr="00B76073">
        <w:rPr>
          <w:rFonts w:cs="Arial"/>
          <w:sz w:val="20"/>
          <w:vertAlign w:val="subscript"/>
        </w:rPr>
        <w:t>y</w:t>
      </w:r>
      <w:proofErr w:type="spellEnd"/>
      <w:r w:rsidR="00501F53">
        <w:rPr>
          <w:rFonts w:cs="Arial"/>
          <w:sz w:val="20"/>
        </w:rPr>
        <w:t xml:space="preserve"> intensity was created close to the single 200 </w:t>
      </w:r>
      <w:proofErr w:type="spellStart"/>
      <w:r w:rsidR="00501F53">
        <w:rPr>
          <w:rFonts w:cs="Arial"/>
          <w:sz w:val="20"/>
        </w:rPr>
        <w:t>kN</w:t>
      </w:r>
      <w:proofErr w:type="spellEnd"/>
      <w:r w:rsidR="00501F53">
        <w:rPr>
          <w:rFonts w:cs="Arial"/>
          <w:sz w:val="20"/>
        </w:rPr>
        <w:t xml:space="preserve"> ax</w:t>
      </w:r>
      <w:r w:rsidR="00B17C4E">
        <w:rPr>
          <w:rFonts w:cs="Arial"/>
          <w:sz w:val="20"/>
        </w:rPr>
        <w:t>le</w:t>
      </w:r>
      <w:r w:rsidR="00501F53">
        <w:rPr>
          <w:rFonts w:cs="Arial"/>
          <w:sz w:val="20"/>
        </w:rPr>
        <w:t xml:space="preserve"> for bridge span</w:t>
      </w:r>
      <w:r w:rsidR="00B76073">
        <w:rPr>
          <w:rFonts w:cs="Arial"/>
          <w:sz w:val="20"/>
        </w:rPr>
        <w:t xml:space="preserve">s </w:t>
      </w:r>
      <w:r w:rsidR="00B17C4E">
        <w:rPr>
          <w:rFonts w:cs="Arial"/>
          <w:sz w:val="20"/>
        </w:rPr>
        <w:t xml:space="preserve">equal to or </w:t>
      </w:r>
      <w:r w:rsidR="00B76073">
        <w:rPr>
          <w:rFonts w:cs="Arial"/>
          <w:sz w:val="20"/>
        </w:rPr>
        <w:t xml:space="preserve">smaller </w:t>
      </w:r>
      <w:r w:rsidR="00B17C4E">
        <w:rPr>
          <w:rFonts w:cs="Arial"/>
          <w:sz w:val="20"/>
        </w:rPr>
        <w:t>than</w:t>
      </w:r>
      <w:r w:rsidR="00B76073">
        <w:rPr>
          <w:rFonts w:cs="Arial"/>
          <w:sz w:val="20"/>
        </w:rPr>
        <w:t xml:space="preserve"> 25 m. Also, for spans over 25 m, the 280 </w:t>
      </w:r>
      <w:proofErr w:type="spellStart"/>
      <w:r w:rsidR="00B76073">
        <w:rPr>
          <w:rFonts w:cs="Arial"/>
          <w:sz w:val="20"/>
        </w:rPr>
        <w:t>kN</w:t>
      </w:r>
      <w:proofErr w:type="spellEnd"/>
      <w:r w:rsidR="00B76073">
        <w:rPr>
          <w:rFonts w:cs="Arial"/>
          <w:sz w:val="20"/>
        </w:rPr>
        <w:t xml:space="preserve"> tandem governed</w:t>
      </w:r>
      <w:r w:rsidR="00B17C4E">
        <w:rPr>
          <w:rFonts w:cs="Arial"/>
          <w:sz w:val="20"/>
        </w:rPr>
        <w:t xml:space="preserve"> (i.e. axles 2 and 3)</w:t>
      </w:r>
      <w:r w:rsidR="00B76073">
        <w:rPr>
          <w:rFonts w:cs="Arial"/>
          <w:sz w:val="20"/>
        </w:rPr>
        <w:t>.</w:t>
      </w:r>
    </w:p>
    <w:p w14:paraId="45E8B1D3" w14:textId="564802FB" w:rsidR="000D1143" w:rsidRDefault="000B3758" w:rsidP="000B3758">
      <w:pPr>
        <w:pStyle w:val="BodyText"/>
        <w:rPr>
          <w:rFonts w:cs="Arial"/>
          <w:sz w:val="20"/>
        </w:rPr>
      </w:pPr>
      <w:r>
        <w:rPr>
          <w:rFonts w:cs="Arial"/>
          <w:sz w:val="20"/>
        </w:rPr>
        <w:t xml:space="preserve">CHBDC of 2000, 2006 and 2014 adopted the charts developed by </w:t>
      </w:r>
      <w:r w:rsidR="00A15397">
        <w:rPr>
          <w:rFonts w:cs="Arial"/>
          <w:sz w:val="20"/>
        </w:rPr>
        <w:t>Bakht et al</w:t>
      </w:r>
      <w:r>
        <w:rPr>
          <w:rFonts w:cs="Arial"/>
          <w:sz w:val="20"/>
        </w:rPr>
        <w:t>.</w:t>
      </w:r>
      <w:r w:rsidR="00A15397">
        <w:rPr>
          <w:rFonts w:cs="Arial"/>
          <w:sz w:val="20"/>
        </w:rPr>
        <w:t xml:space="preserve"> (1983) </w:t>
      </w:r>
      <w:r>
        <w:rPr>
          <w:rFonts w:cs="Arial"/>
          <w:sz w:val="20"/>
        </w:rPr>
        <w:t xml:space="preserve">after converting their values to the CL-W truck of 625 </w:t>
      </w:r>
      <w:proofErr w:type="spellStart"/>
      <w:r>
        <w:rPr>
          <w:rFonts w:cs="Arial"/>
          <w:sz w:val="20"/>
        </w:rPr>
        <w:t>kN</w:t>
      </w:r>
      <w:proofErr w:type="spellEnd"/>
      <w:r>
        <w:rPr>
          <w:rFonts w:cs="Arial"/>
          <w:sz w:val="20"/>
        </w:rPr>
        <w:t xml:space="preserve"> gross weight, as depicted in Figure 3, to determine </w:t>
      </w:r>
      <w:proofErr w:type="spellStart"/>
      <w:r>
        <w:rPr>
          <w:rFonts w:cs="Arial"/>
          <w:sz w:val="20"/>
        </w:rPr>
        <w:t>V</w:t>
      </w:r>
      <w:r w:rsidRPr="000B3758">
        <w:rPr>
          <w:rFonts w:cs="Arial"/>
          <w:sz w:val="20"/>
          <w:vertAlign w:val="subscript"/>
        </w:rPr>
        <w:t>y</w:t>
      </w:r>
      <w:proofErr w:type="spellEnd"/>
      <w:r>
        <w:rPr>
          <w:rFonts w:cs="Arial"/>
          <w:sz w:val="20"/>
        </w:rPr>
        <w:t xml:space="preserve"> in</w:t>
      </w:r>
      <w:r w:rsidR="00A15397">
        <w:rPr>
          <w:rFonts w:cs="Arial"/>
          <w:sz w:val="20"/>
        </w:rPr>
        <w:t xml:space="preserve"> shear</w:t>
      </w:r>
      <w:r>
        <w:rPr>
          <w:rFonts w:cs="Arial"/>
          <w:sz w:val="20"/>
        </w:rPr>
        <w:t>-</w:t>
      </w:r>
      <w:r w:rsidR="00A15397">
        <w:rPr>
          <w:rFonts w:cs="Arial"/>
          <w:sz w:val="20"/>
        </w:rPr>
        <w:t>connected beam bridges</w:t>
      </w:r>
      <w:r>
        <w:rPr>
          <w:rFonts w:cs="Arial"/>
          <w:sz w:val="20"/>
        </w:rPr>
        <w:t>, considering the following equation</w:t>
      </w:r>
      <w:r w:rsidR="00A15397">
        <w:rPr>
          <w:rFonts w:cs="Arial"/>
          <w:sz w:val="20"/>
        </w:rPr>
        <w:t>:</w:t>
      </w:r>
    </w:p>
    <w:p w14:paraId="10F15C58" w14:textId="77777777" w:rsidR="005D357E" w:rsidRDefault="008608FA" w:rsidP="000B3758">
      <w:pPr>
        <w:pStyle w:val="BodyText"/>
        <w:rPr>
          <w:rFonts w:cs="Arial"/>
          <w:sz w:val="20"/>
        </w:rPr>
      </w:pPr>
      <w:r w:rsidRPr="008608FA">
        <w:rPr>
          <w:sz w:val="20"/>
        </w:rPr>
        <w:t>[3]</w:t>
      </w:r>
      <w:r>
        <w:rPr>
          <w:sz w:val="20"/>
        </w:rPr>
        <w:t xml:space="preserve"> </w:t>
      </w:r>
      <m:oMath>
        <m:r>
          <w:rPr>
            <w:rFonts w:ascii="Cambria Math" w:eastAsia="Calibri" w:hAnsi="Cambria Math" w:cs="Arial"/>
            <w:szCs w:val="24"/>
          </w:rPr>
          <m:t xml:space="preserve"> </m:t>
        </m:r>
        <m:sSub>
          <m:sSubPr>
            <m:ctrlPr>
              <w:rPr>
                <w:rFonts w:ascii="Cambria Math" w:eastAsia="Calibri" w:hAnsi="Cambria Math" w:cs="Arial"/>
                <w:i/>
                <w:szCs w:val="24"/>
              </w:rPr>
            </m:ctrlPr>
          </m:sSubPr>
          <m:e>
            <m:r>
              <w:rPr>
                <w:rFonts w:ascii="Cambria Math" w:eastAsia="Calibri" w:hAnsi="Cambria Math" w:cs="Arial"/>
                <w:szCs w:val="24"/>
              </w:rPr>
              <m:t>V</m:t>
            </m:r>
          </m:e>
          <m:sub>
            <m:r>
              <w:rPr>
                <w:rFonts w:ascii="Cambria Math" w:eastAsia="Calibri" w:hAnsi="Cambria Math" w:cs="Arial"/>
                <w:szCs w:val="24"/>
              </w:rPr>
              <m:t>y</m:t>
            </m:r>
          </m:sub>
        </m:sSub>
        <m:r>
          <w:rPr>
            <w:rFonts w:ascii="Cambria Math" w:eastAsia="Calibri" w:hAnsi="Cambria Math" w:cs="Arial"/>
            <w:szCs w:val="24"/>
          </w:rPr>
          <m:t>=kW</m:t>
        </m:r>
      </m:oMath>
    </w:p>
    <w:p w14:paraId="1F74920A" w14:textId="7EA4BCF1" w:rsidR="00E237EB" w:rsidRPr="00E237EB" w:rsidRDefault="000B3758" w:rsidP="000B3758">
      <w:pPr>
        <w:pStyle w:val="BodyText"/>
        <w:rPr>
          <w:rFonts w:cs="Arial"/>
          <w:sz w:val="20"/>
        </w:rPr>
      </w:pPr>
      <w:r>
        <w:rPr>
          <w:rFonts w:cs="Arial"/>
          <w:sz w:val="20"/>
        </w:rPr>
        <w:t xml:space="preserve">Where </w:t>
      </w:r>
      <w:r w:rsidR="00E237EB" w:rsidRPr="00E237EB">
        <w:rPr>
          <w:rFonts w:cs="Arial"/>
          <w:sz w:val="20"/>
        </w:rPr>
        <w:t xml:space="preserve">k = </w:t>
      </w:r>
      <w:r>
        <w:rPr>
          <w:rFonts w:cs="Arial"/>
          <w:sz w:val="20"/>
        </w:rPr>
        <w:t>a constant obtained from c</w:t>
      </w:r>
      <w:r w:rsidR="000D1143">
        <w:rPr>
          <w:rFonts w:cs="Arial"/>
          <w:sz w:val="20"/>
        </w:rPr>
        <w:t>harts shown on Figure 1</w:t>
      </w:r>
      <w:r>
        <w:rPr>
          <w:rFonts w:cs="Arial"/>
          <w:sz w:val="20"/>
        </w:rPr>
        <w:t xml:space="preserve">, and </w:t>
      </w:r>
      <w:r w:rsidR="00E237EB" w:rsidRPr="00E237EB">
        <w:rPr>
          <w:rFonts w:cs="Arial"/>
          <w:sz w:val="20"/>
        </w:rPr>
        <w:t xml:space="preserve">W = the maximum axle load of the CL-625 Truck (175 </w:t>
      </w:r>
      <w:proofErr w:type="spellStart"/>
      <w:r w:rsidR="00E237EB" w:rsidRPr="00E237EB">
        <w:rPr>
          <w:rFonts w:cs="Arial"/>
          <w:sz w:val="20"/>
        </w:rPr>
        <w:t>kN</w:t>
      </w:r>
      <w:proofErr w:type="spellEnd"/>
      <w:r w:rsidR="00E237EB" w:rsidRPr="00E237EB">
        <w:rPr>
          <w:rFonts w:cs="Arial"/>
          <w:sz w:val="20"/>
        </w:rPr>
        <w:t>)</w:t>
      </w:r>
      <w:r>
        <w:rPr>
          <w:rFonts w:cs="Arial"/>
          <w:sz w:val="20"/>
        </w:rPr>
        <w:t xml:space="preserve">. </w:t>
      </w:r>
    </w:p>
    <w:p w14:paraId="56133D68" w14:textId="5608A37E" w:rsidR="00E237EB" w:rsidRDefault="00E237EB" w:rsidP="005D357E">
      <w:pPr>
        <w:pStyle w:val="BodyText"/>
        <w:rPr>
          <w:rFonts w:cs="Arial"/>
          <w:sz w:val="20"/>
        </w:rPr>
      </w:pPr>
      <w:r w:rsidRPr="00E237EB">
        <w:rPr>
          <w:rFonts w:cs="Arial"/>
          <w:sz w:val="20"/>
        </w:rPr>
        <w:t xml:space="preserve">As per CHBDC, </w:t>
      </w:r>
      <w:r w:rsidR="00DC19A5">
        <w:rPr>
          <w:rFonts w:cs="Arial"/>
          <w:sz w:val="20"/>
        </w:rPr>
        <w:t>the d</w:t>
      </w:r>
      <w:r w:rsidRPr="00E237EB">
        <w:rPr>
          <w:rFonts w:cs="Arial"/>
          <w:sz w:val="20"/>
        </w:rPr>
        <w:t xml:space="preserve">ynamic load allowance for a single axle load, as specified in Clause 3.8.4.5, must be </w:t>
      </w:r>
      <w:r w:rsidR="00DC19A5">
        <w:rPr>
          <w:rFonts w:cs="Arial"/>
          <w:sz w:val="20"/>
        </w:rPr>
        <w:t xml:space="preserve">applied to </w:t>
      </w:r>
      <w:proofErr w:type="spellStart"/>
      <w:r w:rsidR="00DC19A5">
        <w:rPr>
          <w:rFonts w:cs="Arial"/>
          <w:sz w:val="20"/>
        </w:rPr>
        <w:t>V</w:t>
      </w:r>
      <w:r w:rsidR="00DC19A5" w:rsidRPr="00DC19A5">
        <w:rPr>
          <w:rFonts w:cs="Arial"/>
          <w:sz w:val="20"/>
          <w:vertAlign w:val="subscript"/>
        </w:rPr>
        <w:t>y</w:t>
      </w:r>
      <w:proofErr w:type="spellEnd"/>
      <w:r w:rsidR="00DC19A5">
        <w:rPr>
          <w:rFonts w:cs="Arial"/>
          <w:sz w:val="20"/>
        </w:rPr>
        <w:t xml:space="preserve"> obtained from equation [3]. </w:t>
      </w:r>
      <w:r w:rsidRPr="00E237EB">
        <w:rPr>
          <w:rFonts w:cs="Arial"/>
          <w:sz w:val="20"/>
        </w:rPr>
        <w:t xml:space="preserve">The value of β in Figure </w:t>
      </w:r>
      <w:r w:rsidR="00DC19A5">
        <w:rPr>
          <w:rFonts w:cs="Arial"/>
          <w:sz w:val="20"/>
        </w:rPr>
        <w:t>3</w:t>
      </w:r>
      <w:r w:rsidRPr="00E237EB">
        <w:rPr>
          <w:rFonts w:cs="Arial"/>
          <w:sz w:val="20"/>
        </w:rPr>
        <w:t xml:space="preserve"> shall be calculated as follows:</w:t>
      </w:r>
    </w:p>
    <w:p w14:paraId="3BC1C6FA" w14:textId="701ABD0D" w:rsidR="005D357E" w:rsidRDefault="005D357E" w:rsidP="005D357E">
      <w:pPr>
        <w:pStyle w:val="BodyText"/>
        <w:rPr>
          <w:rFonts w:cs="Arial"/>
        </w:rPr>
      </w:pPr>
      <w:r w:rsidRPr="005D357E">
        <w:rPr>
          <w:rFonts w:cs="Arial"/>
          <w:sz w:val="20"/>
        </w:rPr>
        <w:t>[4]</w:t>
      </w:r>
      <w:r>
        <w:rPr>
          <w:rFonts w:cs="Arial"/>
          <w:sz w:val="20"/>
        </w:rPr>
        <w:t xml:space="preserve"> </w:t>
      </w:r>
      <m:oMath>
        <m:r>
          <w:rPr>
            <w:rFonts w:ascii="Cambria Math" w:eastAsia="Calibri" w:hAnsi="Cambria Math" w:cs="Arial"/>
          </w:rPr>
          <m:t xml:space="preserve"> β=π</m:t>
        </m:r>
        <m:d>
          <m:dPr>
            <m:begChr m:val="["/>
            <m:endChr m:val="]"/>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B</m:t>
                </m:r>
              </m:num>
              <m:den>
                <m:r>
                  <w:rPr>
                    <w:rFonts w:ascii="Cambria Math" w:eastAsia="Calibri" w:hAnsi="Cambria Math" w:cs="Arial"/>
                  </w:rPr>
                  <m:t>L</m:t>
                </m:r>
              </m:den>
            </m:f>
          </m:e>
        </m:d>
        <m:sSup>
          <m:sSupPr>
            <m:ctrlPr>
              <w:rPr>
                <w:rFonts w:ascii="Cambria Math" w:eastAsia="Calibri" w:hAnsi="Cambria Math" w:cs="Arial"/>
                <w:i/>
              </w:rPr>
            </m:ctrlPr>
          </m:sSupPr>
          <m:e>
            <m:d>
              <m:dPr>
                <m:begChr m:val="["/>
                <m:endChr m:val="]"/>
                <m:ctrlPr>
                  <w:rPr>
                    <w:rFonts w:ascii="Cambria Math" w:eastAsia="Calibri" w:hAnsi="Cambria Math" w:cs="Arial"/>
                    <w:i/>
                  </w:rPr>
                </m:ctrlPr>
              </m:dPr>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x</m:t>
                        </m:r>
                      </m:sub>
                    </m:sSub>
                  </m:num>
                  <m:den>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xy</m:t>
                        </m:r>
                      </m:sub>
                    </m:sSub>
                  </m:den>
                </m:f>
              </m:e>
            </m:d>
          </m:e>
          <m:sup>
            <m:r>
              <w:rPr>
                <w:rFonts w:ascii="Cambria Math" w:eastAsia="Calibri" w:hAnsi="Cambria Math" w:cs="Arial"/>
              </w:rPr>
              <m:t>0.5</m:t>
            </m:r>
          </m:sup>
        </m:sSup>
      </m:oMath>
    </w:p>
    <w:p w14:paraId="4CD392EF" w14:textId="4D477DDB" w:rsidR="005D357E" w:rsidRDefault="005D357E" w:rsidP="005D357E">
      <w:pPr>
        <w:pStyle w:val="BodyText"/>
      </w:pPr>
      <w:r w:rsidRPr="005D357E">
        <w:rPr>
          <w:sz w:val="20"/>
        </w:rPr>
        <w:t>[5]</w:t>
      </w:r>
      <w:r>
        <w:rPr>
          <w:sz w:val="20"/>
        </w:rPr>
        <w:t xml:space="preserve"> </w:t>
      </w:r>
      <m:oMath>
        <m:r>
          <w:rPr>
            <w:rFonts w:ascii="Cambria Math" w:eastAsia="Calibri" w:hAnsi="Cambria Math" w:cs="Arial"/>
            <w:szCs w:val="24"/>
          </w:rPr>
          <m:t xml:space="preserve"> </m:t>
        </m:r>
        <m:sSub>
          <m:sSubPr>
            <m:ctrlPr>
              <w:rPr>
                <w:rFonts w:ascii="Cambria Math" w:eastAsia="Calibri" w:hAnsi="Cambria Math" w:cs="Arial"/>
                <w:i/>
                <w:szCs w:val="24"/>
              </w:rPr>
            </m:ctrlPr>
          </m:sSubPr>
          <m:e>
            <m:r>
              <w:rPr>
                <w:rFonts w:ascii="Cambria Math" w:eastAsia="Calibri" w:hAnsi="Cambria Math" w:cs="Arial"/>
                <w:szCs w:val="24"/>
              </w:rPr>
              <m:t>D</m:t>
            </m:r>
          </m:e>
          <m:sub>
            <m:r>
              <w:rPr>
                <w:rFonts w:ascii="Cambria Math" w:eastAsia="Calibri" w:hAnsi="Cambria Math" w:cs="Arial"/>
                <w:szCs w:val="24"/>
              </w:rPr>
              <m:t>x</m:t>
            </m:r>
          </m:sub>
        </m:sSub>
        <m:r>
          <w:rPr>
            <w:rFonts w:ascii="Cambria Math" w:eastAsia="Calibri" w:hAnsi="Cambria Math" w:cs="Arial"/>
            <w:szCs w:val="24"/>
          </w:rPr>
          <m:t xml:space="preserve">= </m:t>
        </m:r>
        <m:f>
          <m:fPr>
            <m:ctrlPr>
              <w:rPr>
                <w:rFonts w:ascii="Cambria Math" w:eastAsia="Calibri" w:hAnsi="Cambria Math" w:cs="Arial"/>
                <w:i/>
                <w:szCs w:val="24"/>
              </w:rPr>
            </m:ctrlPr>
          </m:fPr>
          <m:num>
            <m:r>
              <w:rPr>
                <w:rFonts w:ascii="Cambria Math" w:eastAsia="Calibri" w:hAnsi="Cambria Math" w:cs="Arial"/>
                <w:szCs w:val="24"/>
              </w:rPr>
              <m:t>EI</m:t>
            </m:r>
          </m:num>
          <m:den>
            <m:sSub>
              <m:sSubPr>
                <m:ctrlPr>
                  <w:rPr>
                    <w:rFonts w:ascii="Cambria Math" w:eastAsia="Calibri" w:hAnsi="Cambria Math" w:cs="Arial"/>
                    <w:i/>
                    <w:szCs w:val="24"/>
                  </w:rPr>
                </m:ctrlPr>
              </m:sSubPr>
              <m:e>
                <m:r>
                  <w:rPr>
                    <w:rFonts w:ascii="Cambria Math" w:eastAsia="Calibri" w:hAnsi="Cambria Math" w:cs="Arial"/>
                    <w:szCs w:val="24"/>
                  </w:rPr>
                  <m:t>P</m:t>
                </m:r>
              </m:e>
              <m:sub>
                <m:r>
                  <w:rPr>
                    <w:rFonts w:ascii="Cambria Math" w:eastAsia="Calibri" w:hAnsi="Cambria Math" w:cs="Arial"/>
                    <w:szCs w:val="24"/>
                  </w:rPr>
                  <m:t>x</m:t>
                </m:r>
              </m:sub>
            </m:sSub>
          </m:den>
        </m:f>
      </m:oMath>
    </w:p>
    <w:p w14:paraId="0804A849" w14:textId="68FCCF9F" w:rsidR="00496C66" w:rsidRDefault="005D357E" w:rsidP="005D357E">
      <w:pPr>
        <w:pStyle w:val="BodyText"/>
        <w:rPr>
          <w:rFonts w:cs="Arial"/>
          <w:sz w:val="20"/>
        </w:rPr>
      </w:pPr>
      <w:r w:rsidRPr="005D357E">
        <w:rPr>
          <w:rFonts w:cs="Arial"/>
          <w:sz w:val="20"/>
        </w:rPr>
        <w:t>[6]</w:t>
      </w:r>
      <w:r>
        <w:rPr>
          <w:rFonts w:cs="Arial"/>
          <w:sz w:val="20"/>
        </w:rPr>
        <w:t xml:space="preserve">  </w:t>
      </w:r>
      <m:oMath>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xy</m:t>
            </m:r>
          </m:sub>
        </m:sSub>
        <m:r>
          <w:rPr>
            <w:rFonts w:ascii="Cambria Math" w:eastAsia="Calibri" w:hAnsi="Cambria Math" w:cs="Arial"/>
          </w:rPr>
          <m:t xml:space="preserve">=G </m:t>
        </m:r>
        <m:f>
          <m:fPr>
            <m:ctrlPr>
              <w:rPr>
                <w:rFonts w:ascii="Cambria Math" w:eastAsia="Calibri" w:hAnsi="Cambria Math" w:cs="Arial"/>
                <w:i/>
              </w:rPr>
            </m:ctrlPr>
          </m:fPr>
          <m:num>
            <m:r>
              <w:rPr>
                <w:rFonts w:ascii="Cambria Math" w:eastAsia="Calibri" w:hAnsi="Cambria Math" w:cs="Arial"/>
              </w:rPr>
              <m:t>4</m:t>
            </m:r>
            <m:sSub>
              <m:sSubPr>
                <m:ctrlPr>
                  <w:rPr>
                    <w:rFonts w:ascii="Cambria Math" w:eastAsia="Calibri" w:hAnsi="Cambria Math" w:cs="Arial"/>
                    <w:i/>
                  </w:rPr>
                </m:ctrlPr>
              </m:sSubPr>
              <m:e>
                <m:r>
                  <w:rPr>
                    <w:rFonts w:ascii="Cambria Math" w:eastAsia="Calibri" w:hAnsi="Cambria Math" w:cs="Arial"/>
                  </w:rPr>
                  <m:t>A</m:t>
                </m:r>
              </m:e>
              <m:sub>
                <m:r>
                  <w:rPr>
                    <w:rFonts w:ascii="Cambria Math" w:eastAsia="Calibri" w:hAnsi="Cambria Math" w:cs="Arial"/>
                  </w:rPr>
                  <m:t>0</m:t>
                </m:r>
              </m:sub>
            </m:sSub>
          </m:num>
          <m:den>
            <m:sSub>
              <m:sSubPr>
                <m:ctrlPr>
                  <w:rPr>
                    <w:rFonts w:ascii="Cambria Math" w:eastAsia="Calibri" w:hAnsi="Cambria Math" w:cs="Arial"/>
                    <w:i/>
                  </w:rPr>
                </m:ctrlPr>
              </m:sSubPr>
              <m:e>
                <m:r>
                  <w:rPr>
                    <w:rFonts w:ascii="Cambria Math" w:eastAsia="Calibri" w:hAnsi="Cambria Math" w:cs="Arial"/>
                  </w:rPr>
                  <m:t>P</m:t>
                </m:r>
              </m:e>
              <m:sub>
                <m:r>
                  <w:rPr>
                    <w:rFonts w:ascii="Cambria Math" w:eastAsia="Calibri" w:hAnsi="Cambria Math" w:cs="Arial"/>
                  </w:rPr>
                  <m:t>x</m:t>
                </m:r>
              </m:sub>
            </m:sSub>
            <m:r>
              <w:rPr>
                <w:rFonts w:ascii="Cambria Math" w:eastAsia="Calibri" w:hAnsi="Cambria Math" w:cs="Arial"/>
              </w:rPr>
              <m:t>Σ</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m:t>
                    </m:r>
                  </m:e>
                  <m:sub>
                    <m:r>
                      <w:rPr>
                        <w:rFonts w:ascii="Cambria Math" w:eastAsia="Calibri" w:hAnsi="Cambria Math" w:cs="Arial"/>
                      </w:rPr>
                      <m:t>s</m:t>
                    </m:r>
                  </m:sub>
                </m:sSub>
              </m:num>
              <m:den>
                <m:r>
                  <w:rPr>
                    <w:rFonts w:ascii="Cambria Math" w:eastAsia="Calibri" w:hAnsi="Cambria Math" w:cs="Arial"/>
                  </w:rPr>
                  <m:t>t</m:t>
                </m:r>
              </m:den>
            </m:f>
          </m:den>
        </m:f>
      </m:oMath>
    </w:p>
    <w:p w14:paraId="6718760A" w14:textId="77777777" w:rsidR="00DC6D9C" w:rsidRDefault="00DC19A5" w:rsidP="005D357E">
      <w:pPr>
        <w:spacing w:before="200" w:after="0" w:line="240" w:lineRule="auto"/>
      </w:pPr>
      <w:r>
        <w:t xml:space="preserve">Where </w:t>
      </w:r>
      <w:r w:rsidR="002148BA">
        <w:t>B</w:t>
      </w:r>
      <w:r>
        <w:t xml:space="preserve"> =</w:t>
      </w:r>
      <w:r w:rsidR="002148BA">
        <w:t xml:space="preserve"> </w:t>
      </w:r>
      <w:r>
        <w:t xml:space="preserve">width of the bridge, </w:t>
      </w:r>
      <w:r w:rsidR="002148BA">
        <w:t>L</w:t>
      </w:r>
      <w:r>
        <w:t xml:space="preserve"> = bridge s</w:t>
      </w:r>
      <w:r w:rsidR="002148BA">
        <w:t>pan length</w:t>
      </w:r>
      <w:r>
        <w:t xml:space="preserve">, </w:t>
      </w:r>
      <w:proofErr w:type="spellStart"/>
      <w:r w:rsidR="00E97081">
        <w:t>D</w:t>
      </w:r>
      <w:r w:rsidR="00E97081" w:rsidRPr="00E97081">
        <w:rPr>
          <w:vertAlign w:val="subscript"/>
        </w:rPr>
        <w:t>xy</w:t>
      </w:r>
      <w:proofErr w:type="spellEnd"/>
      <w:r w:rsidR="00E97081" w:rsidRPr="00E97081">
        <w:rPr>
          <w:vertAlign w:val="subscript"/>
        </w:rPr>
        <w:t xml:space="preserve"> </w:t>
      </w:r>
      <w:r w:rsidR="00E97081">
        <w:t xml:space="preserve">= </w:t>
      </w:r>
      <w:r>
        <w:t>t</w:t>
      </w:r>
      <w:r w:rsidR="00E97081">
        <w:t>orsion rigidity</w:t>
      </w:r>
      <w:r>
        <w:t xml:space="preserve">, </w:t>
      </w:r>
      <w:r w:rsidR="002148BA">
        <w:t>EI</w:t>
      </w:r>
      <w:r>
        <w:t xml:space="preserve"> = flexural stiffness, P</w:t>
      </w:r>
      <w:r w:rsidRPr="00DC19A5">
        <w:rPr>
          <w:vertAlign w:val="subscript"/>
        </w:rPr>
        <w:t>x</w:t>
      </w:r>
      <w:r>
        <w:t xml:space="preserve"> is the spacing between boxes, center-to-centre</w:t>
      </w:r>
      <w:r w:rsidR="00BB0137">
        <w:t xml:space="preserve">, G = shear modulus, </w:t>
      </w:r>
      <w:proofErr w:type="spellStart"/>
      <w:r w:rsidR="00BB0137">
        <w:t>A</w:t>
      </w:r>
      <w:r w:rsidR="00BB0137" w:rsidRPr="00BB0137">
        <w:rPr>
          <w:vertAlign w:val="subscript"/>
        </w:rPr>
        <w:t>o</w:t>
      </w:r>
      <w:proofErr w:type="spellEnd"/>
      <w:r w:rsidR="00BB0137" w:rsidRPr="00BB0137">
        <w:rPr>
          <w:vertAlign w:val="subscript"/>
        </w:rPr>
        <w:t xml:space="preserve"> </w:t>
      </w:r>
      <w:r w:rsidR="00BB0137">
        <w:t>= area enclosed by the centrelines of walls forming the box section, d</w:t>
      </w:r>
      <w:r w:rsidR="00BB0137" w:rsidRPr="00BB0137">
        <w:rPr>
          <w:vertAlign w:val="subscript"/>
        </w:rPr>
        <w:t>s</w:t>
      </w:r>
      <w:r w:rsidR="00BB0137">
        <w:t xml:space="preserve"> = length of box wall and t = thickness of box wall</w:t>
      </w:r>
      <w:r>
        <w:t>.</w:t>
      </w:r>
    </w:p>
    <w:p w14:paraId="3499294E" w14:textId="699C1674" w:rsidR="00496C66" w:rsidRPr="00374B34" w:rsidRDefault="00DC19A5" w:rsidP="00DC6D9C">
      <w:pPr>
        <w:spacing w:line="240" w:lineRule="auto"/>
      </w:pPr>
      <w:r>
        <w:t xml:space="preserve"> </w:t>
      </w:r>
    </w:p>
    <w:p w14:paraId="2291A093" w14:textId="0AFABEBE" w:rsidR="00EA0A35" w:rsidRDefault="001216FD" w:rsidP="00EA4EED">
      <w:pPr>
        <w:pStyle w:val="BodyText"/>
        <w:jc w:val="center"/>
        <w:rPr>
          <w:rFonts w:cs="Arial"/>
          <w:sz w:val="20"/>
        </w:rPr>
      </w:pPr>
      <w:r>
        <w:rPr>
          <w:rFonts w:cs="Arial"/>
          <w:noProof/>
          <w:sz w:val="20"/>
          <w:lang w:eastAsia="en-CA"/>
        </w:rPr>
        <w:lastRenderedPageBreak/>
        <w:drawing>
          <wp:inline distT="0" distB="0" distL="0" distR="0" wp14:anchorId="3341B6C5" wp14:editId="292288CE">
            <wp:extent cx="4517390" cy="517853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804"/>
                    <a:stretch/>
                  </pic:blipFill>
                  <pic:spPr bwMode="auto">
                    <a:xfrm>
                      <a:off x="0" y="0"/>
                      <a:ext cx="4517390" cy="5178535"/>
                    </a:xfrm>
                    <a:prstGeom prst="rect">
                      <a:avLst/>
                    </a:prstGeom>
                    <a:noFill/>
                    <a:ln>
                      <a:noFill/>
                    </a:ln>
                    <a:extLst>
                      <a:ext uri="{53640926-AAD7-44D8-BBD7-CCE9431645EC}">
                        <a14:shadowObscured xmlns:a14="http://schemas.microsoft.com/office/drawing/2010/main"/>
                      </a:ext>
                    </a:extLst>
                  </pic:spPr>
                </pic:pic>
              </a:graphicData>
            </a:graphic>
          </wp:inline>
        </w:drawing>
      </w:r>
    </w:p>
    <w:p w14:paraId="4AD1C65C" w14:textId="77777777" w:rsidR="00DC6D9C" w:rsidRDefault="002148BA" w:rsidP="00DC6D9C">
      <w:pPr>
        <w:pStyle w:val="Caption"/>
        <w:spacing w:before="0" w:after="0"/>
      </w:pPr>
      <w:r>
        <w:t xml:space="preserve">Figure </w:t>
      </w:r>
      <w:r w:rsidR="0000759D">
        <w:rPr>
          <w:noProof/>
        </w:rPr>
        <w:fldChar w:fldCharType="begin"/>
      </w:r>
      <w:r w:rsidR="0000759D">
        <w:rPr>
          <w:noProof/>
        </w:rPr>
        <w:instrText xml:space="preserve"> SEQ Figure \* ARABIC </w:instrText>
      </w:r>
      <w:r w:rsidR="0000759D">
        <w:rPr>
          <w:noProof/>
        </w:rPr>
        <w:fldChar w:fldCharType="separate"/>
      </w:r>
      <w:r w:rsidR="00984D23">
        <w:rPr>
          <w:noProof/>
        </w:rPr>
        <w:t>3</w:t>
      </w:r>
      <w:r w:rsidR="0000759D">
        <w:rPr>
          <w:noProof/>
        </w:rPr>
        <w:fldChar w:fldCharType="end"/>
      </w:r>
      <w:r>
        <w:t xml:space="preserve">: </w:t>
      </w:r>
      <w:r w:rsidRPr="002148BA">
        <w:t>Values of k for calculating transverse vertical shear in shear</w:t>
      </w:r>
      <w:r w:rsidR="00DC6D9C">
        <w:t>-</w:t>
      </w:r>
      <w:r w:rsidRPr="002148BA">
        <w:t xml:space="preserve">connected beam </w:t>
      </w:r>
      <w:r w:rsidR="00DC6D9C">
        <w:t xml:space="preserve">subjected </w:t>
      </w:r>
    </w:p>
    <w:p w14:paraId="344A7498" w14:textId="6CB39814" w:rsidR="00F04A15" w:rsidRDefault="00DC6D9C" w:rsidP="00DC6D9C">
      <w:pPr>
        <w:pStyle w:val="Caption"/>
        <w:spacing w:before="0" w:after="0"/>
      </w:pPr>
      <w:r>
        <w:t xml:space="preserve">to CL-625 truck loading </w:t>
      </w:r>
      <w:r w:rsidR="00F04A15">
        <w:fldChar w:fldCharType="begin"/>
      </w:r>
      <w:r w:rsidR="00F04A15">
        <w:instrText xml:space="preserve"> ADDIN ZOTERO_ITEM CSL_CITATION {"citationID":"MmXo0Jgk","properties":{"formattedCitation":"(\\uc0\\u8220{}CSA S6-14 - Canadian Highway Bridge Design Code\\uc0\\u8221{} n.d.)","plainCitation":"(“CSA S6-14 - Canadian Highway Bridge Design Code” n.d.)","noteIndex":0},"citationItems":[{"id":5,"uris":["http://zotero.org/users/local/HDomOMEv/items/6DUKS2JJ"],"uri":["http://zotero.org/users/local/HDomOMEv/items/6DUKS2JJ"],"itemData":{"id":5,"type":"post-weblog","title":"CSA S6-14 - Canadian Highway Bridge Design Code","container-title":"CISC-ICCA","URL":"https://www.cisc-icca.ca/product/csa-s6-14-canadian-highway-bridge-design-code/","language":"en-US","accessed":{"date-parts":[["2018",5,24]]}}}],"schema":"https://github.com/citation-style-language/schema/raw/master/csl-citation.json"} </w:instrText>
      </w:r>
      <w:r w:rsidR="00F04A15">
        <w:fldChar w:fldCharType="separate"/>
      </w:r>
      <w:r w:rsidR="00F04A15" w:rsidRPr="00F04A15">
        <w:rPr>
          <w:rFonts w:cs="Arial"/>
          <w:szCs w:val="24"/>
        </w:rPr>
        <w:t xml:space="preserve">(CSA </w:t>
      </w:r>
      <w:r>
        <w:rPr>
          <w:rFonts w:cs="Arial"/>
          <w:szCs w:val="24"/>
        </w:rPr>
        <w:t>2014)</w:t>
      </w:r>
      <w:r w:rsidR="00F04A15">
        <w:fldChar w:fldCharType="end"/>
      </w:r>
    </w:p>
    <w:p w14:paraId="0AFA084D" w14:textId="7A88D215" w:rsidR="008842CA" w:rsidRPr="008842CA" w:rsidRDefault="008842CA" w:rsidP="00EA5B0A">
      <w:pPr>
        <w:pStyle w:val="Heading1"/>
      </w:pPr>
      <w:r w:rsidRPr="008842CA">
        <w:t xml:space="preserve">SIGNIFICANE OF RESEARCH </w:t>
      </w:r>
    </w:p>
    <w:p w14:paraId="72FD15A1" w14:textId="26A8CED5" w:rsidR="00FE27B1" w:rsidRDefault="008842CA" w:rsidP="003F7F4B">
      <w:pPr>
        <w:spacing w:before="0" w:after="0" w:line="240" w:lineRule="auto"/>
      </w:pPr>
      <w:r>
        <w:t xml:space="preserve">The review of previous work revealed that CHBDC charts to </w:t>
      </w:r>
      <w:r w:rsidRPr="008842CA">
        <w:t>determine maximum transverse shear (</w:t>
      </w:r>
      <w:proofErr w:type="spellStart"/>
      <w:r w:rsidRPr="008842CA">
        <w:t>V</w:t>
      </w:r>
      <w:r w:rsidRPr="005D357E">
        <w:rPr>
          <w:vertAlign w:val="subscript"/>
        </w:rPr>
        <w:t>y</w:t>
      </w:r>
      <w:proofErr w:type="spellEnd"/>
      <w:r w:rsidRPr="008842CA">
        <w:t xml:space="preserve">) </w:t>
      </w:r>
      <w:r>
        <w:t xml:space="preserve">in shear-connected beams are limited to 2, 3 and 4 design lanes for bridge widths of 7.5, 10, 12.5 and 15 m. In the current study, 1, 5 and 6 lanes were added </w:t>
      </w:r>
      <w:r w:rsidRPr="008842CA">
        <w:t>for bridge widths</w:t>
      </w:r>
      <w:r>
        <w:t xml:space="preserve"> of 5.75, 16.5, 20 and 23.5 m. Also, CHBDC </w:t>
      </w:r>
      <w:proofErr w:type="spellStart"/>
      <w:r>
        <w:t>V</w:t>
      </w:r>
      <w:r w:rsidRPr="008842CA">
        <w:rPr>
          <w:vertAlign w:val="subscript"/>
        </w:rPr>
        <w:t>y</w:t>
      </w:r>
      <w:proofErr w:type="spellEnd"/>
      <w:r>
        <w:t xml:space="preserve"> charts considers the </w:t>
      </w:r>
      <w:r w:rsidRPr="008842CA">
        <w:t>flexural-torsion parameter, β, ranging from 0.2 to 2.</w:t>
      </w:r>
      <w:r>
        <w:t xml:space="preserve"> However, recent research on adjacent box beam bridges revealed that </w:t>
      </w:r>
      <w:r w:rsidRPr="008842CA">
        <w:t>β</w:t>
      </w:r>
      <w:r>
        <w:t xml:space="preserve"> values reach </w:t>
      </w:r>
      <w:r w:rsidR="0010613B">
        <w:t>8</w:t>
      </w:r>
      <w:r>
        <w:t xml:space="preserve"> with increase of number of design lanes to 6 (</w:t>
      </w:r>
      <w:proofErr w:type="spellStart"/>
      <w:r>
        <w:t>Jajjawi</w:t>
      </w:r>
      <w:proofErr w:type="spellEnd"/>
      <w:r>
        <w:t xml:space="preserve"> 201</w:t>
      </w:r>
      <w:r w:rsidR="00812695">
        <w:t>6</w:t>
      </w:r>
      <w:r>
        <w:t xml:space="preserve">). </w:t>
      </w:r>
      <w:r w:rsidR="0010613B">
        <w:t xml:space="preserve">As such, the current study included </w:t>
      </w:r>
      <w:r w:rsidR="0010613B" w:rsidRPr="0010613B">
        <w:t>β values</w:t>
      </w:r>
      <w:r w:rsidR="0010613B">
        <w:t xml:space="preserve"> ranging from 0.2 to 8. </w:t>
      </w:r>
      <w:r w:rsidR="00A96DB3">
        <w:t xml:space="preserve">The study by Bakht et al. (1983) considers only one eccentrically-loaded lane to obtain the greatest </w:t>
      </w:r>
      <w:proofErr w:type="spellStart"/>
      <w:r w:rsidR="00A96DB3">
        <w:t>V</w:t>
      </w:r>
      <w:r w:rsidR="00A96DB3" w:rsidRPr="00A96DB3">
        <w:rPr>
          <w:vertAlign w:val="subscript"/>
        </w:rPr>
        <w:t>y</w:t>
      </w:r>
      <w:proofErr w:type="spellEnd"/>
      <w:r w:rsidR="00A96DB3">
        <w:t xml:space="preserve"> value. However, in a sensitivity study conducted in the current study, it was found that single-lane loading provides the maximum </w:t>
      </w:r>
      <w:proofErr w:type="spellStart"/>
      <w:r w:rsidR="00A96DB3">
        <w:t>V</w:t>
      </w:r>
      <w:r w:rsidR="00A96DB3" w:rsidRPr="00A96DB3">
        <w:rPr>
          <w:vertAlign w:val="subscript"/>
        </w:rPr>
        <w:t>y</w:t>
      </w:r>
      <w:proofErr w:type="spellEnd"/>
      <w:r w:rsidR="00A96DB3">
        <w:t xml:space="preserve"> for one-, two- and three-lane bridge cross-section, while two adjacent lanes loaded with CL-W trucks produce the maximum </w:t>
      </w:r>
      <w:proofErr w:type="spellStart"/>
      <w:r w:rsidR="00A96DB3">
        <w:t>V</w:t>
      </w:r>
      <w:r w:rsidR="00A96DB3" w:rsidRPr="00A96DB3">
        <w:rPr>
          <w:vertAlign w:val="subscript"/>
        </w:rPr>
        <w:t>y</w:t>
      </w:r>
      <w:proofErr w:type="spellEnd"/>
      <w:r w:rsidR="00A96DB3">
        <w:t xml:space="preserve"> for four-, five-, and six-lane bridge cross-section. Finally, results not presented here by the authors of this paper proved that the original charts by Bakht et al. included the dynamic load allowance and that multiplying </w:t>
      </w:r>
      <w:proofErr w:type="spellStart"/>
      <w:r w:rsidR="00A96DB3">
        <w:t>V</w:t>
      </w:r>
      <w:r w:rsidR="00A96DB3" w:rsidRPr="00A96DB3">
        <w:rPr>
          <w:vertAlign w:val="subscript"/>
        </w:rPr>
        <w:t>y</w:t>
      </w:r>
      <w:proofErr w:type="spellEnd"/>
      <w:r w:rsidR="00A96DB3">
        <w:t xml:space="preserve"> obtained from CHBDC charts by DLA is not required. </w:t>
      </w:r>
    </w:p>
    <w:p w14:paraId="351390A7" w14:textId="4AA13740" w:rsidR="007406C0" w:rsidRDefault="007406C0" w:rsidP="003F7F4B">
      <w:pPr>
        <w:spacing w:before="0" w:after="0" w:line="240" w:lineRule="auto"/>
      </w:pPr>
    </w:p>
    <w:p w14:paraId="25D17143" w14:textId="6EF2D71A" w:rsidR="007406C0" w:rsidRDefault="007406C0" w:rsidP="003F7F4B">
      <w:pPr>
        <w:spacing w:before="0" w:after="0" w:line="240" w:lineRule="auto"/>
      </w:pPr>
    </w:p>
    <w:p w14:paraId="7532F063" w14:textId="77777777" w:rsidR="007406C0" w:rsidRDefault="007406C0" w:rsidP="003F7F4B">
      <w:pPr>
        <w:spacing w:before="0" w:after="0" w:line="240" w:lineRule="auto"/>
      </w:pPr>
    </w:p>
    <w:p w14:paraId="2D84A336" w14:textId="50EB1D18" w:rsidR="008D147D" w:rsidRPr="00EA5B0A" w:rsidRDefault="008D147D" w:rsidP="00EA5B0A">
      <w:pPr>
        <w:pStyle w:val="Heading1"/>
      </w:pPr>
      <w:r w:rsidRPr="00EA5B0A">
        <w:rPr>
          <w:rStyle w:val="Heading1Char"/>
          <w:b/>
        </w:rPr>
        <w:lastRenderedPageBreak/>
        <w:t>ANALYSIS OF ADJACANT BOX BEAMS TO DETERMINE TRANSVERSE SHEAR</w:t>
      </w:r>
      <w:r w:rsidRPr="00EA5B0A">
        <w:t xml:space="preserve"> </w:t>
      </w:r>
    </w:p>
    <w:p w14:paraId="0FEE7585" w14:textId="6874AE15" w:rsidR="002E7B44" w:rsidRDefault="00C621FC" w:rsidP="004857E8">
      <w:pPr>
        <w:spacing w:line="240" w:lineRule="auto"/>
        <w:rPr>
          <w:rFonts w:cs="Arial"/>
        </w:rPr>
      </w:pPr>
      <w:r>
        <w:t>An extensive sensitivity and parametric study were conducted over 2400 multibeam bridges with various parameters ranging from one lane to six lane bridges with the span of 3</w:t>
      </w:r>
      <w:r w:rsidR="00246C19">
        <w:t xml:space="preserve"> to</w:t>
      </w:r>
      <w:r>
        <w:t xml:space="preserve"> 50 m. The bridges analysed using </w:t>
      </w:r>
      <w:r w:rsidR="00246C19">
        <w:t>the O</w:t>
      </w:r>
      <w:r>
        <w:t xml:space="preserve">rthotropic </w:t>
      </w:r>
      <w:r w:rsidR="00246C19">
        <w:t>P</w:t>
      </w:r>
      <w:r>
        <w:t xml:space="preserve">late </w:t>
      </w:r>
      <w:r w:rsidR="00246C19">
        <w:t>T</w:t>
      </w:r>
      <w:r>
        <w:t xml:space="preserve">heory and employing PLATO </w:t>
      </w:r>
      <w:r w:rsidR="00FD3F18">
        <w:t xml:space="preserve">program </w:t>
      </w:r>
      <w:r>
        <w:t xml:space="preserve">which </w:t>
      </w:r>
      <w:r w:rsidR="00246C19">
        <w:t>wa</w:t>
      </w:r>
      <w:r>
        <w:t>s developed based on this theory</w:t>
      </w:r>
      <w:r w:rsidR="00FD3F18">
        <w:t xml:space="preserve"> by </w:t>
      </w:r>
      <w:r w:rsidR="00FD3F18" w:rsidRPr="00FD3F18">
        <w:t>Bakht et al.</w:t>
      </w:r>
      <w:r w:rsidR="00246C19">
        <w:t xml:space="preserve"> (</w:t>
      </w:r>
      <w:r w:rsidR="00FD3F18" w:rsidRPr="00FD3F18">
        <w:t>2002)</w:t>
      </w:r>
      <w:r>
        <w:t xml:space="preserve">. </w:t>
      </w:r>
      <w:r w:rsidR="00D45F3C">
        <w:rPr>
          <w:rFonts w:cs="Arial"/>
        </w:rPr>
        <w:t xml:space="preserve">In this study, the axel load of the CL-W truck considered as patch loads with the area of 600 mm x 250 mm which applied in PLATO over the deck. </w:t>
      </w:r>
      <w:r w:rsidR="009065D8">
        <w:rPr>
          <w:rFonts w:cs="Arial"/>
        </w:rPr>
        <w:t>Although Bakht et al. (1983) considered transverse flexural rigidity equal to zero (D</w:t>
      </w:r>
      <w:r w:rsidR="009065D8" w:rsidRPr="009065D8">
        <w:rPr>
          <w:rFonts w:cs="Arial"/>
          <w:vertAlign w:val="subscript"/>
        </w:rPr>
        <w:t>y</w:t>
      </w:r>
      <w:r w:rsidR="009065D8">
        <w:rPr>
          <w:rFonts w:cs="Arial"/>
        </w:rPr>
        <w:t xml:space="preserve"> = 0) in developing CHBDC charts for shear-connected beam, designers may suspect that these charts may not be applicable to adjacent box beams with flexural-shear connection between top flanges of box beams. As such, a sensitivity study was conducted</w:t>
      </w:r>
      <w:r w:rsidR="002E7B44">
        <w:rPr>
          <w:rFonts w:cs="Arial"/>
        </w:rPr>
        <w:t xml:space="preserve"> to</w:t>
      </w:r>
      <w:r w:rsidR="009065D8">
        <w:rPr>
          <w:rFonts w:cs="Arial"/>
        </w:rPr>
        <w:t xml:space="preserve"> examine the change in D</w:t>
      </w:r>
      <w:r w:rsidR="009065D8" w:rsidRPr="009065D8">
        <w:rPr>
          <w:rFonts w:cs="Arial"/>
          <w:vertAlign w:val="subscript"/>
        </w:rPr>
        <w:t>y</w:t>
      </w:r>
      <w:r w:rsidR="009065D8">
        <w:rPr>
          <w:rFonts w:cs="Arial"/>
        </w:rPr>
        <w:t>/D</w:t>
      </w:r>
      <w:r w:rsidR="009065D8" w:rsidRPr="009065D8">
        <w:rPr>
          <w:rFonts w:cs="Arial"/>
          <w:vertAlign w:val="subscript"/>
        </w:rPr>
        <w:t>x</w:t>
      </w:r>
      <w:r w:rsidR="009065D8">
        <w:rPr>
          <w:rFonts w:cs="Arial"/>
        </w:rPr>
        <w:t xml:space="preserve"> ratio on </w:t>
      </w:r>
      <w:proofErr w:type="spellStart"/>
      <w:r w:rsidR="009065D8">
        <w:rPr>
          <w:rFonts w:cs="Arial"/>
        </w:rPr>
        <w:t>V</w:t>
      </w:r>
      <w:r w:rsidR="009065D8" w:rsidRPr="009065D8">
        <w:rPr>
          <w:rFonts w:cs="Arial"/>
          <w:vertAlign w:val="subscript"/>
        </w:rPr>
        <w:t>y</w:t>
      </w:r>
      <w:proofErr w:type="spellEnd"/>
      <w:r w:rsidR="009065D8">
        <w:rPr>
          <w:rFonts w:cs="Arial"/>
        </w:rPr>
        <w:t xml:space="preserve"> values for a </w:t>
      </w:r>
      <w:r w:rsidR="002E7B44">
        <w:rPr>
          <w:rFonts w:cs="Arial"/>
        </w:rPr>
        <w:t xml:space="preserve">four-lane </w:t>
      </w:r>
      <w:r w:rsidR="009065D8">
        <w:rPr>
          <w:rFonts w:cs="Arial"/>
        </w:rPr>
        <w:t>bridge</w:t>
      </w:r>
      <w:r w:rsidR="002E7B44">
        <w:rPr>
          <w:rFonts w:cs="Arial"/>
        </w:rPr>
        <w:t xml:space="preserve"> of 20 m span and 16.5 m width. This D</w:t>
      </w:r>
      <w:r w:rsidR="002E7B44" w:rsidRPr="009065D8">
        <w:rPr>
          <w:rFonts w:cs="Arial"/>
          <w:vertAlign w:val="subscript"/>
        </w:rPr>
        <w:t>y</w:t>
      </w:r>
      <w:r w:rsidR="002E7B44">
        <w:rPr>
          <w:rFonts w:cs="Arial"/>
        </w:rPr>
        <w:t>/D</w:t>
      </w:r>
      <w:r w:rsidR="002E7B44" w:rsidRPr="009065D8">
        <w:rPr>
          <w:rFonts w:cs="Arial"/>
          <w:vertAlign w:val="subscript"/>
        </w:rPr>
        <w:t>x</w:t>
      </w:r>
      <w:r w:rsidR="002E7B44">
        <w:rPr>
          <w:rFonts w:cs="Arial"/>
        </w:rPr>
        <w:t xml:space="preserve"> ratio changed from 0 to 0.2 as depicted in Figure 4. It should be </w:t>
      </w:r>
      <w:r w:rsidR="00DD03A9">
        <w:rPr>
          <w:rFonts w:cs="Arial"/>
        </w:rPr>
        <w:t>noted that D</w:t>
      </w:r>
      <w:r w:rsidR="00DD03A9" w:rsidRPr="00DD03A9">
        <w:rPr>
          <w:rFonts w:cs="Arial"/>
          <w:vertAlign w:val="subscript"/>
        </w:rPr>
        <w:t>y</w:t>
      </w:r>
      <w:r w:rsidR="00DD03A9">
        <w:rPr>
          <w:rFonts w:cs="Arial"/>
        </w:rPr>
        <w:t xml:space="preserve"> is to be calculated at the flexural-shear joint between boxes. Figure 4 shows that D</w:t>
      </w:r>
      <w:r w:rsidR="00DD03A9" w:rsidRPr="00DD03A9">
        <w:rPr>
          <w:rFonts w:cs="Arial"/>
          <w:vertAlign w:val="subscript"/>
        </w:rPr>
        <w:t>y</w:t>
      </w:r>
      <w:r w:rsidR="00DD03A9">
        <w:rPr>
          <w:rFonts w:cs="Arial"/>
        </w:rPr>
        <w:t xml:space="preserve"> has almost no effect on the maximum value of </w:t>
      </w:r>
      <w:proofErr w:type="spellStart"/>
      <w:r w:rsidR="00DD03A9">
        <w:rPr>
          <w:rFonts w:cs="Arial"/>
        </w:rPr>
        <w:t>V</w:t>
      </w:r>
      <w:r w:rsidR="00DD03A9" w:rsidRPr="00DD03A9">
        <w:rPr>
          <w:rFonts w:cs="Arial"/>
          <w:vertAlign w:val="subscript"/>
        </w:rPr>
        <w:t>y</w:t>
      </w:r>
      <w:proofErr w:type="spellEnd"/>
      <w:r w:rsidR="00DD03A9">
        <w:rPr>
          <w:rFonts w:cs="Arial"/>
        </w:rPr>
        <w:t xml:space="preserve"> in adjacent box beams. As such, the authors conducted the parametric study considering D</w:t>
      </w:r>
      <w:r w:rsidR="00DD03A9" w:rsidRPr="00DD03A9">
        <w:rPr>
          <w:rFonts w:cs="Arial"/>
          <w:vertAlign w:val="subscript"/>
        </w:rPr>
        <w:t>y</w:t>
      </w:r>
      <w:r w:rsidR="00DD03A9">
        <w:rPr>
          <w:rFonts w:cs="Arial"/>
        </w:rPr>
        <w:t xml:space="preserve"> = 0. </w:t>
      </w:r>
    </w:p>
    <w:p w14:paraId="6E779159" w14:textId="072D0747" w:rsidR="00EA0A35" w:rsidRDefault="003D75E9" w:rsidP="00EA4EED">
      <w:pPr>
        <w:pStyle w:val="BodyText"/>
        <w:jc w:val="center"/>
        <w:rPr>
          <w:rFonts w:cs="Arial"/>
          <w:sz w:val="20"/>
        </w:rPr>
      </w:pPr>
      <w:r>
        <w:rPr>
          <w:rFonts w:cs="Arial"/>
          <w:noProof/>
          <w:sz w:val="20"/>
          <w:lang w:eastAsia="en-CA"/>
        </w:rPr>
        <w:drawing>
          <wp:inline distT="0" distB="0" distL="0" distR="0" wp14:anchorId="1B511C92" wp14:editId="0A80B85A">
            <wp:extent cx="4572635"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DED119A" w14:textId="6517D83C" w:rsidR="00EA0A35" w:rsidRDefault="007620F6" w:rsidP="002E7B44">
      <w:pPr>
        <w:pStyle w:val="Caption"/>
        <w:rPr>
          <w:rFonts w:cs="Arial"/>
        </w:rPr>
      </w:pPr>
      <w:r>
        <w:t xml:space="preserve">Figure </w:t>
      </w:r>
      <w:r w:rsidR="0000759D">
        <w:rPr>
          <w:noProof/>
        </w:rPr>
        <w:fldChar w:fldCharType="begin"/>
      </w:r>
      <w:r w:rsidR="0000759D">
        <w:rPr>
          <w:noProof/>
        </w:rPr>
        <w:instrText xml:space="preserve"> SEQ Figure \* ARABIC </w:instrText>
      </w:r>
      <w:r w:rsidR="0000759D">
        <w:rPr>
          <w:noProof/>
        </w:rPr>
        <w:fldChar w:fldCharType="separate"/>
      </w:r>
      <w:r w:rsidR="00984D23">
        <w:rPr>
          <w:noProof/>
        </w:rPr>
        <w:t>4</w:t>
      </w:r>
      <w:r w:rsidR="0000759D">
        <w:rPr>
          <w:noProof/>
        </w:rPr>
        <w:fldChar w:fldCharType="end"/>
      </w:r>
      <w:r>
        <w:t>: Transverse dis</w:t>
      </w:r>
      <w:r w:rsidR="002E7B44">
        <w:t xml:space="preserve">tribution of </w:t>
      </w:r>
      <w:proofErr w:type="spellStart"/>
      <w:r>
        <w:t>V</w:t>
      </w:r>
      <w:r w:rsidRPr="007620F6">
        <w:rPr>
          <w:vertAlign w:val="subscript"/>
        </w:rPr>
        <w:t>y</w:t>
      </w:r>
      <w:proofErr w:type="spellEnd"/>
    </w:p>
    <w:p w14:paraId="31CEAFBD" w14:textId="74F23F3B" w:rsidR="00EA0A35" w:rsidRDefault="00175C77" w:rsidP="00E6550A">
      <w:pPr>
        <w:spacing w:before="240" w:line="240" w:lineRule="auto"/>
        <w:rPr>
          <w:rFonts w:cs="Arial"/>
          <w:szCs w:val="20"/>
        </w:rPr>
      </w:pPr>
      <w:r w:rsidRPr="00175C77">
        <w:rPr>
          <w:rFonts w:cs="Arial"/>
          <w:szCs w:val="20"/>
        </w:rPr>
        <w:t xml:space="preserve">Furthermore, a study is conducted on dominant loading cases in transverse and longitudinal direction. As a transverse direction </w:t>
      </w:r>
      <w:r w:rsidR="00E32D2C">
        <w:rPr>
          <w:rFonts w:cs="Arial"/>
          <w:szCs w:val="20"/>
        </w:rPr>
        <w:t xml:space="preserve">is </w:t>
      </w:r>
      <w:r w:rsidRPr="00175C77">
        <w:rPr>
          <w:rFonts w:cs="Arial"/>
          <w:szCs w:val="20"/>
        </w:rPr>
        <w:t xml:space="preserve">considered, </w:t>
      </w:r>
      <w:r w:rsidR="0073511E">
        <w:rPr>
          <w:rFonts w:cs="Arial"/>
          <w:szCs w:val="20"/>
        </w:rPr>
        <w:t>F</w:t>
      </w:r>
      <w:r w:rsidRPr="00175C77">
        <w:rPr>
          <w:rFonts w:cs="Arial"/>
          <w:szCs w:val="20"/>
        </w:rPr>
        <w:t>igure</w:t>
      </w:r>
      <w:r w:rsidR="00C03B63">
        <w:rPr>
          <w:rFonts w:cs="Arial"/>
          <w:szCs w:val="20"/>
        </w:rPr>
        <w:t xml:space="preserve"> </w:t>
      </w:r>
      <w:r w:rsidR="00E6550A">
        <w:rPr>
          <w:rFonts w:cs="Arial"/>
          <w:szCs w:val="20"/>
        </w:rPr>
        <w:t>5</w:t>
      </w:r>
      <w:r w:rsidRPr="00175C77">
        <w:rPr>
          <w:rFonts w:cs="Arial"/>
          <w:szCs w:val="20"/>
        </w:rPr>
        <w:t xml:space="preserve"> shows the loading case which produced the maximum </w:t>
      </w:r>
      <w:proofErr w:type="spellStart"/>
      <w:r w:rsidRPr="00175C77">
        <w:rPr>
          <w:rFonts w:cs="Arial"/>
          <w:szCs w:val="20"/>
        </w:rPr>
        <w:t>V</w:t>
      </w:r>
      <w:r w:rsidRPr="00DB5A6C">
        <w:rPr>
          <w:rFonts w:cs="Arial"/>
          <w:szCs w:val="20"/>
          <w:vertAlign w:val="subscript"/>
        </w:rPr>
        <w:t>y</w:t>
      </w:r>
      <w:proofErr w:type="spellEnd"/>
      <w:r w:rsidR="0073511E">
        <w:rPr>
          <w:rFonts w:cs="Arial"/>
          <w:szCs w:val="20"/>
        </w:rPr>
        <w:t xml:space="preserve"> in transverse direction</w:t>
      </w:r>
      <w:r w:rsidR="00E32D2C">
        <w:rPr>
          <w:rFonts w:cs="Arial"/>
          <w:szCs w:val="20"/>
        </w:rPr>
        <w:t xml:space="preserve"> based on the sensitivity analysis conducted in this study</w:t>
      </w:r>
      <w:r w:rsidR="0073511E">
        <w:rPr>
          <w:rFonts w:cs="Arial"/>
          <w:szCs w:val="20"/>
        </w:rPr>
        <w:t xml:space="preserve">. As it can </w:t>
      </w:r>
      <w:r w:rsidR="00984D23">
        <w:rPr>
          <w:rFonts w:cs="Arial"/>
          <w:szCs w:val="20"/>
        </w:rPr>
        <w:t>be</w:t>
      </w:r>
      <w:r w:rsidR="0073511E">
        <w:rPr>
          <w:rFonts w:cs="Arial"/>
          <w:szCs w:val="20"/>
        </w:rPr>
        <w:t xml:space="preserve"> </w:t>
      </w:r>
      <w:r w:rsidR="00E32D2C">
        <w:rPr>
          <w:rFonts w:cs="Arial"/>
          <w:szCs w:val="20"/>
        </w:rPr>
        <w:t>observed,</w:t>
      </w:r>
      <w:r w:rsidR="0073511E">
        <w:rPr>
          <w:rFonts w:cs="Arial"/>
          <w:szCs w:val="20"/>
        </w:rPr>
        <w:t xml:space="preserve"> for one, two, and three lane bridges, one lane loaded created maximum </w:t>
      </w:r>
      <w:proofErr w:type="spellStart"/>
      <w:r w:rsidR="0073511E">
        <w:rPr>
          <w:rFonts w:cs="Arial"/>
          <w:szCs w:val="20"/>
        </w:rPr>
        <w:t>V</w:t>
      </w:r>
      <w:r w:rsidR="0073511E" w:rsidRPr="00C03B63">
        <w:rPr>
          <w:rFonts w:cs="Arial"/>
          <w:szCs w:val="20"/>
          <w:vertAlign w:val="subscript"/>
        </w:rPr>
        <w:t>y</w:t>
      </w:r>
      <w:proofErr w:type="spellEnd"/>
      <w:r w:rsidR="00E32D2C">
        <w:rPr>
          <w:rFonts w:cs="Arial"/>
          <w:szCs w:val="20"/>
          <w:vertAlign w:val="subscript"/>
        </w:rPr>
        <w:t>,</w:t>
      </w:r>
      <w:r w:rsidR="00E32D2C">
        <w:rPr>
          <w:rFonts w:cs="Arial"/>
          <w:szCs w:val="20"/>
        </w:rPr>
        <w:t xml:space="preserve"> while the two-lane loaded scenario  is prominent</w:t>
      </w:r>
      <w:r w:rsidR="0073511E">
        <w:rPr>
          <w:rFonts w:cs="Arial"/>
          <w:szCs w:val="20"/>
        </w:rPr>
        <w:t xml:space="preserve"> for four, five, and six lane bridges.</w:t>
      </w:r>
      <w:r w:rsidR="008B3F7D">
        <w:rPr>
          <w:rFonts w:cs="Arial"/>
          <w:szCs w:val="20"/>
        </w:rPr>
        <w:t xml:space="preserve"> </w:t>
      </w:r>
    </w:p>
    <w:p w14:paraId="4F814E80" w14:textId="34F977CB" w:rsidR="00314736" w:rsidRPr="00984D23" w:rsidRDefault="00314736" w:rsidP="00E6550A">
      <w:pPr>
        <w:spacing w:line="240" w:lineRule="auto"/>
      </w:pPr>
      <w:r>
        <w:t xml:space="preserve">It is interesting to note that the study in longitudinal direction also </w:t>
      </w:r>
      <w:r w:rsidR="004857E8">
        <w:t>revealed t</w:t>
      </w:r>
      <w:r>
        <w:t>hat ax</w:t>
      </w:r>
      <w:r w:rsidR="004857E8">
        <w:t>le</w:t>
      </w:r>
      <w:r>
        <w:t xml:space="preserve"> 4 of CL-W truck for the bridge span up to 13 m produced maximum transverse shear, while for bridges with the span ranging between 16 m to 20 m, ax</w:t>
      </w:r>
      <w:r w:rsidR="004857E8">
        <w:t>les</w:t>
      </w:r>
      <w:r>
        <w:t xml:space="preserve"> 1, 2, and 3 generated the largest tra</w:t>
      </w:r>
      <w:r w:rsidR="004857E8">
        <w:t xml:space="preserve">nsverse shear force at the </w:t>
      </w:r>
      <w:r>
        <w:t>joints</w:t>
      </w:r>
      <w:r w:rsidR="004857E8">
        <w:t xml:space="preserve"> between boxes</w:t>
      </w:r>
      <w:r>
        <w:t xml:space="preserve">. Moreover, for the span over 20 m, all five axles of CL-W truck </w:t>
      </w:r>
      <w:r w:rsidR="004857E8">
        <w:t xml:space="preserve">produced the </w:t>
      </w:r>
      <w:r>
        <w:t xml:space="preserve">maximum </w:t>
      </w:r>
      <w:proofErr w:type="spellStart"/>
      <w:r>
        <w:t>V</w:t>
      </w:r>
      <w:r w:rsidRPr="00117599">
        <w:rPr>
          <w:vertAlign w:val="subscript"/>
        </w:rPr>
        <w:t>y</w:t>
      </w:r>
      <w:proofErr w:type="spellEnd"/>
      <w:r>
        <w:t xml:space="preserve">. </w:t>
      </w:r>
      <w:r w:rsidR="004857E8">
        <w:t xml:space="preserve">In addition, the changes in </w:t>
      </w:r>
      <w:proofErr w:type="spellStart"/>
      <w:r w:rsidR="004857E8">
        <w:t>Vy</w:t>
      </w:r>
      <w:proofErr w:type="spellEnd"/>
      <w:r w:rsidR="004857E8">
        <w:t xml:space="preserve"> values were studied when using CL-625 truck and CL-625-ONT truck. Figure </w:t>
      </w:r>
      <w:r w:rsidR="00E6550A">
        <w:t>6</w:t>
      </w:r>
      <w:r>
        <w:t xml:space="preserve"> depicted the d</w:t>
      </w:r>
      <w:r w:rsidR="004857E8">
        <w:t>i</w:t>
      </w:r>
      <w:r>
        <w:t>f</w:t>
      </w:r>
      <w:r w:rsidR="004857E8">
        <w:t>f</w:t>
      </w:r>
      <w:r>
        <w:t xml:space="preserve">erence between </w:t>
      </w:r>
      <w:proofErr w:type="spellStart"/>
      <w:r>
        <w:t>V</w:t>
      </w:r>
      <w:r w:rsidRPr="00117599">
        <w:rPr>
          <w:vertAlign w:val="subscript"/>
        </w:rPr>
        <w:t>y</w:t>
      </w:r>
      <w:proofErr w:type="spellEnd"/>
      <w:r>
        <w:t xml:space="preserve"> intensity due to CL-625 and C</w:t>
      </w:r>
      <w:r w:rsidR="004857E8">
        <w:t xml:space="preserve">L-625-ONT trucks for four-lane bridges of </w:t>
      </w:r>
      <w:r>
        <w:t>span</w:t>
      </w:r>
      <w:r w:rsidR="004857E8">
        <w:t>s</w:t>
      </w:r>
      <w:r>
        <w:t xml:space="preserve"> varying from 10 m </w:t>
      </w:r>
      <w:r w:rsidR="004857E8">
        <w:t>to 30 m</w:t>
      </w:r>
      <w:r>
        <w:t xml:space="preserve"> and </w:t>
      </w:r>
      <w:r w:rsidR="004857E8">
        <w:t xml:space="preserve">a </w:t>
      </w:r>
      <w:r>
        <w:t xml:space="preserve">width of 16.5 m. </w:t>
      </w:r>
      <w:r w:rsidR="004857E8">
        <w:t xml:space="preserve">Results showed that axles 2 and 3 of the truck produced the greatest </w:t>
      </w:r>
      <w:proofErr w:type="spellStart"/>
      <w:r w:rsidR="004857E8">
        <w:t>V</w:t>
      </w:r>
      <w:r w:rsidR="004857E8" w:rsidRPr="004857E8">
        <w:rPr>
          <w:vertAlign w:val="subscript"/>
        </w:rPr>
        <w:t>y</w:t>
      </w:r>
      <w:proofErr w:type="spellEnd"/>
      <w:r w:rsidR="004857E8">
        <w:t xml:space="preserve"> for spans ranging from 15 to 25 m and that </w:t>
      </w:r>
      <w:proofErr w:type="spellStart"/>
      <w:r w:rsidR="004857E8">
        <w:t>V</w:t>
      </w:r>
      <w:r w:rsidR="004857E8" w:rsidRPr="004857E8">
        <w:rPr>
          <w:vertAlign w:val="subscript"/>
        </w:rPr>
        <w:t>y</w:t>
      </w:r>
      <w:proofErr w:type="spellEnd"/>
      <w:r w:rsidR="004857E8">
        <w:t xml:space="preserve"> for CL-625-ONT truck was greater than that produced by CL-625 truck. As such, it was decided to use CL-625-ONT truck to conduct the parametric study with the understanding that the produced charts can cooperatively be used for bridges designed using CL-625 truck in span range between 15 and 25 m.</w:t>
      </w:r>
    </w:p>
    <w:p w14:paraId="6FFC240A" w14:textId="7FDACF0F" w:rsidR="00F154D9" w:rsidRDefault="00F154D9" w:rsidP="00936568">
      <w:pPr>
        <w:spacing w:before="0" w:after="0" w:line="240" w:lineRule="auto"/>
        <w:jc w:val="center"/>
        <w:rPr>
          <w:rFonts w:cs="Arial"/>
          <w:szCs w:val="20"/>
        </w:rPr>
      </w:pPr>
      <w:r>
        <w:rPr>
          <w:rFonts w:cs="Arial"/>
          <w:noProof/>
          <w:szCs w:val="20"/>
          <w:lang w:eastAsia="en-CA"/>
        </w:rPr>
        <w:lastRenderedPageBreak/>
        <w:drawing>
          <wp:inline distT="0" distB="0" distL="0" distR="0" wp14:anchorId="08466205" wp14:editId="3793FF9F">
            <wp:extent cx="1033200" cy="1584000"/>
            <wp:effectExtent l="0" t="8572" r="6032" b="603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l lanes.jpg"/>
                    <pic:cNvPicPr/>
                  </pic:nvPicPr>
                  <pic:blipFill rotWithShape="1">
                    <a:blip r:embed="rId23"/>
                    <a:srcRect l="66381" t="68924" r="23097" b="6085"/>
                    <a:stretch/>
                  </pic:blipFill>
                  <pic:spPr bwMode="auto">
                    <a:xfrm rot="16200000">
                      <a:off x="0" y="0"/>
                      <a:ext cx="1033200" cy="1584000"/>
                    </a:xfrm>
                    <a:prstGeom prst="rect">
                      <a:avLst/>
                    </a:prstGeom>
                    <a:ln>
                      <a:noFill/>
                    </a:ln>
                    <a:extLst>
                      <a:ext uri="{53640926-AAD7-44D8-BBD7-CCE9431645EC}">
                        <a14:shadowObscured xmlns:a14="http://schemas.microsoft.com/office/drawing/2010/main"/>
                      </a:ext>
                    </a:extLst>
                  </pic:spPr>
                </pic:pic>
              </a:graphicData>
            </a:graphic>
          </wp:inline>
        </w:drawing>
      </w:r>
    </w:p>
    <w:p w14:paraId="50FD64DC" w14:textId="7AFD0A92" w:rsidR="00E32D2C" w:rsidRDefault="00E32D2C" w:rsidP="00936568">
      <w:pPr>
        <w:pStyle w:val="ListParagraph"/>
        <w:numPr>
          <w:ilvl w:val="0"/>
          <w:numId w:val="15"/>
        </w:numPr>
        <w:spacing w:before="0" w:line="240" w:lineRule="auto"/>
        <w:jc w:val="center"/>
        <w:rPr>
          <w:rFonts w:cs="Arial"/>
          <w:szCs w:val="20"/>
        </w:rPr>
      </w:pPr>
      <w:r>
        <w:rPr>
          <w:rFonts w:cs="Arial"/>
          <w:szCs w:val="20"/>
        </w:rPr>
        <w:t>One-lane bridge cross-section</w:t>
      </w:r>
    </w:p>
    <w:p w14:paraId="3A982CD7" w14:textId="0D7D727E" w:rsidR="00E32D2C" w:rsidRDefault="00E32D2C" w:rsidP="00936568">
      <w:pPr>
        <w:spacing w:before="0" w:line="240" w:lineRule="auto"/>
        <w:jc w:val="center"/>
        <w:rPr>
          <w:rFonts w:cs="Arial"/>
          <w:szCs w:val="20"/>
        </w:rPr>
      </w:pPr>
      <w:r>
        <w:rPr>
          <w:rFonts w:cs="Arial"/>
          <w:noProof/>
          <w:szCs w:val="20"/>
          <w:lang w:eastAsia="en-CA"/>
        </w:rPr>
        <w:drawing>
          <wp:inline distT="0" distB="0" distL="0" distR="0" wp14:anchorId="1E1216EA" wp14:editId="32E450BA">
            <wp:extent cx="2764800" cy="106200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51723" t="15019" r="5795" b="71340"/>
                    <a:stretch/>
                  </pic:blipFill>
                  <pic:spPr bwMode="auto">
                    <a:xfrm>
                      <a:off x="0" y="0"/>
                      <a:ext cx="2764800" cy="1062000"/>
                    </a:xfrm>
                    <a:prstGeom prst="rect">
                      <a:avLst/>
                    </a:prstGeom>
                    <a:noFill/>
                    <a:ln>
                      <a:noFill/>
                    </a:ln>
                    <a:extLst>
                      <a:ext uri="{53640926-AAD7-44D8-BBD7-CCE9431645EC}">
                        <a14:shadowObscured xmlns:a14="http://schemas.microsoft.com/office/drawing/2010/main"/>
                      </a:ext>
                    </a:extLst>
                  </pic:spPr>
                </pic:pic>
              </a:graphicData>
            </a:graphic>
          </wp:inline>
        </w:drawing>
      </w:r>
    </w:p>
    <w:p w14:paraId="0C3BC2AB" w14:textId="0541A504" w:rsidR="00E32D2C" w:rsidRDefault="00E32D2C" w:rsidP="00936568">
      <w:pPr>
        <w:pStyle w:val="ListParagraph"/>
        <w:numPr>
          <w:ilvl w:val="0"/>
          <w:numId w:val="15"/>
        </w:numPr>
        <w:spacing w:before="0" w:line="240" w:lineRule="auto"/>
        <w:jc w:val="center"/>
        <w:rPr>
          <w:rFonts w:cs="Arial"/>
          <w:szCs w:val="20"/>
        </w:rPr>
      </w:pPr>
      <w:r>
        <w:rPr>
          <w:rFonts w:cs="Arial"/>
          <w:szCs w:val="20"/>
        </w:rPr>
        <w:t>Two-lane bridge cross-section</w:t>
      </w:r>
    </w:p>
    <w:p w14:paraId="3D51C6BA" w14:textId="70A9725C" w:rsidR="00E32D2C" w:rsidRDefault="00E32D2C" w:rsidP="00936568">
      <w:pPr>
        <w:spacing w:before="0" w:line="240" w:lineRule="auto"/>
        <w:jc w:val="center"/>
        <w:rPr>
          <w:rFonts w:cs="Arial"/>
          <w:szCs w:val="20"/>
        </w:rPr>
      </w:pPr>
      <w:r>
        <w:rPr>
          <w:rFonts w:cs="Arial"/>
          <w:noProof/>
          <w:szCs w:val="20"/>
          <w:lang w:eastAsia="en-CA"/>
        </w:rPr>
        <w:drawing>
          <wp:inline distT="0" distB="0" distL="0" distR="0" wp14:anchorId="2E8C7239" wp14:editId="48FD2795">
            <wp:extent cx="3272400" cy="1044000"/>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2481" t="30039" r="6976" b="56483"/>
                    <a:stretch/>
                  </pic:blipFill>
                  <pic:spPr bwMode="auto">
                    <a:xfrm>
                      <a:off x="0" y="0"/>
                      <a:ext cx="3272400" cy="1044000"/>
                    </a:xfrm>
                    <a:prstGeom prst="rect">
                      <a:avLst/>
                    </a:prstGeom>
                    <a:noFill/>
                    <a:ln>
                      <a:noFill/>
                    </a:ln>
                    <a:extLst>
                      <a:ext uri="{53640926-AAD7-44D8-BBD7-CCE9431645EC}">
                        <a14:shadowObscured xmlns:a14="http://schemas.microsoft.com/office/drawing/2010/main"/>
                      </a:ext>
                    </a:extLst>
                  </pic:spPr>
                </pic:pic>
              </a:graphicData>
            </a:graphic>
          </wp:inline>
        </w:drawing>
      </w:r>
    </w:p>
    <w:p w14:paraId="53302588" w14:textId="06C45CBD" w:rsidR="00E32D2C" w:rsidRDefault="00E32D2C" w:rsidP="00936568">
      <w:pPr>
        <w:pStyle w:val="ListParagraph"/>
        <w:numPr>
          <w:ilvl w:val="0"/>
          <w:numId w:val="15"/>
        </w:numPr>
        <w:spacing w:before="0" w:line="240" w:lineRule="auto"/>
        <w:jc w:val="center"/>
        <w:rPr>
          <w:rFonts w:cs="Arial"/>
          <w:szCs w:val="20"/>
        </w:rPr>
      </w:pPr>
      <w:r>
        <w:rPr>
          <w:rFonts w:cs="Arial"/>
          <w:szCs w:val="20"/>
        </w:rPr>
        <w:t>Three-lane bridge cross-section</w:t>
      </w:r>
    </w:p>
    <w:p w14:paraId="4A179BE4" w14:textId="03410EBD" w:rsidR="00E32D2C" w:rsidRDefault="00E32D2C" w:rsidP="00936568">
      <w:pPr>
        <w:spacing w:before="0" w:line="240" w:lineRule="auto"/>
        <w:jc w:val="center"/>
        <w:rPr>
          <w:rFonts w:cs="Arial"/>
          <w:szCs w:val="20"/>
        </w:rPr>
      </w:pPr>
      <w:r>
        <w:rPr>
          <w:rFonts w:cs="Arial"/>
          <w:noProof/>
          <w:szCs w:val="20"/>
          <w:lang w:eastAsia="en-CA"/>
        </w:rPr>
        <w:drawing>
          <wp:inline distT="0" distB="0" distL="0" distR="0" wp14:anchorId="3411DB55" wp14:editId="34EB7BE7">
            <wp:extent cx="4114800" cy="1080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30224" t="44652" r="6501" b="41465"/>
                    <a:stretch/>
                  </pic:blipFill>
                  <pic:spPr bwMode="auto">
                    <a:xfrm>
                      <a:off x="0" y="0"/>
                      <a:ext cx="41148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BF05E97" w14:textId="01F78F70" w:rsidR="00E32D2C" w:rsidRDefault="00E32D2C" w:rsidP="00936568">
      <w:pPr>
        <w:pStyle w:val="ListParagraph"/>
        <w:numPr>
          <w:ilvl w:val="0"/>
          <w:numId w:val="15"/>
        </w:numPr>
        <w:spacing w:before="0" w:line="240" w:lineRule="auto"/>
        <w:jc w:val="center"/>
        <w:rPr>
          <w:rFonts w:cs="Arial"/>
          <w:szCs w:val="20"/>
        </w:rPr>
      </w:pPr>
      <w:r>
        <w:rPr>
          <w:rFonts w:cs="Arial"/>
          <w:szCs w:val="20"/>
        </w:rPr>
        <w:t>Four-lane bridge cross-section</w:t>
      </w:r>
    </w:p>
    <w:p w14:paraId="24523CE9" w14:textId="3AB2ACAA" w:rsidR="00E32D2C" w:rsidRDefault="00E32D2C" w:rsidP="00936568">
      <w:pPr>
        <w:spacing w:before="0" w:line="240" w:lineRule="auto"/>
        <w:jc w:val="center"/>
        <w:rPr>
          <w:rFonts w:cs="Arial"/>
          <w:szCs w:val="20"/>
        </w:rPr>
      </w:pPr>
      <w:r>
        <w:rPr>
          <w:rFonts w:cs="Arial"/>
          <w:noProof/>
          <w:szCs w:val="20"/>
          <w:lang w:eastAsia="en-CA"/>
        </w:rPr>
        <w:drawing>
          <wp:inline distT="0" distB="0" distL="0" distR="0" wp14:anchorId="5C93E939" wp14:editId="0FB1D956">
            <wp:extent cx="4942800" cy="1080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7398" t="34619" r="6505" b="40286"/>
                    <a:stretch/>
                  </pic:blipFill>
                  <pic:spPr bwMode="auto">
                    <a:xfrm>
                      <a:off x="0" y="0"/>
                      <a:ext cx="49428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FF102B4" w14:textId="689525FF" w:rsidR="00E32D2C" w:rsidRDefault="00E32D2C" w:rsidP="00936568">
      <w:pPr>
        <w:pStyle w:val="ListParagraph"/>
        <w:numPr>
          <w:ilvl w:val="0"/>
          <w:numId w:val="15"/>
        </w:numPr>
        <w:spacing w:before="0" w:line="240" w:lineRule="auto"/>
        <w:jc w:val="center"/>
        <w:rPr>
          <w:rFonts w:cs="Arial"/>
          <w:szCs w:val="20"/>
        </w:rPr>
      </w:pPr>
      <w:r>
        <w:rPr>
          <w:rFonts w:cs="Arial"/>
          <w:szCs w:val="20"/>
        </w:rPr>
        <w:t>Five-lane bridge cross-section</w:t>
      </w:r>
    </w:p>
    <w:p w14:paraId="4C7967EF" w14:textId="473661CC" w:rsidR="00E32D2C" w:rsidRDefault="00E32D2C" w:rsidP="00936568">
      <w:pPr>
        <w:spacing w:before="0" w:line="240" w:lineRule="auto"/>
        <w:jc w:val="center"/>
        <w:rPr>
          <w:rFonts w:cs="Arial"/>
          <w:szCs w:val="20"/>
        </w:rPr>
      </w:pPr>
      <w:r>
        <w:rPr>
          <w:rFonts w:cs="Arial"/>
          <w:noProof/>
          <w:szCs w:val="20"/>
          <w:lang w:eastAsia="en-CA"/>
        </w:rPr>
        <w:drawing>
          <wp:inline distT="0" distB="0" distL="0" distR="0" wp14:anchorId="587A157A" wp14:editId="1E7528FB">
            <wp:extent cx="5835600" cy="102600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3988" t="70852" r="5935" b="5225"/>
                    <a:stretch/>
                  </pic:blipFill>
                  <pic:spPr bwMode="auto">
                    <a:xfrm>
                      <a:off x="0" y="0"/>
                      <a:ext cx="5835600" cy="1026000"/>
                    </a:xfrm>
                    <a:prstGeom prst="rect">
                      <a:avLst/>
                    </a:prstGeom>
                    <a:noFill/>
                    <a:ln>
                      <a:noFill/>
                    </a:ln>
                    <a:extLst>
                      <a:ext uri="{53640926-AAD7-44D8-BBD7-CCE9431645EC}">
                        <a14:shadowObscured xmlns:a14="http://schemas.microsoft.com/office/drawing/2010/main"/>
                      </a:ext>
                    </a:extLst>
                  </pic:spPr>
                </pic:pic>
              </a:graphicData>
            </a:graphic>
          </wp:inline>
        </w:drawing>
      </w:r>
    </w:p>
    <w:p w14:paraId="05689488" w14:textId="6882C23D" w:rsidR="00E32D2C" w:rsidRPr="00E32D2C" w:rsidRDefault="00E32D2C" w:rsidP="00936568">
      <w:pPr>
        <w:pStyle w:val="ListParagraph"/>
        <w:numPr>
          <w:ilvl w:val="0"/>
          <w:numId w:val="15"/>
        </w:numPr>
        <w:spacing w:before="0" w:line="240" w:lineRule="auto"/>
        <w:jc w:val="center"/>
        <w:rPr>
          <w:rFonts w:cs="Arial"/>
          <w:szCs w:val="20"/>
        </w:rPr>
      </w:pPr>
      <w:r>
        <w:rPr>
          <w:rFonts w:cs="Arial"/>
          <w:szCs w:val="20"/>
        </w:rPr>
        <w:t>Six-lane bridge cross-section</w:t>
      </w:r>
    </w:p>
    <w:p w14:paraId="5BA99D76" w14:textId="7C35469E" w:rsidR="00EA0A35" w:rsidRDefault="00984D23" w:rsidP="00936568">
      <w:pPr>
        <w:pStyle w:val="Caption"/>
        <w:spacing w:before="0" w:after="120"/>
      </w:pPr>
      <w:r>
        <w:t xml:space="preserve">Figure </w:t>
      </w:r>
      <w:r w:rsidR="00426AF5">
        <w:t>5</w:t>
      </w:r>
      <w:r w:rsidR="00F3011D">
        <w:rPr>
          <w:noProof/>
        </w:rPr>
        <w:t xml:space="preserve">: Dominant loading cases in transverse direction  for one-lane to six-lane multibeams bridges </w:t>
      </w:r>
    </w:p>
    <w:p w14:paraId="776138FB" w14:textId="75471950" w:rsidR="00EA0A35" w:rsidRDefault="00AB20E2" w:rsidP="00EA4EED">
      <w:pPr>
        <w:pStyle w:val="BodyText"/>
        <w:jc w:val="center"/>
        <w:rPr>
          <w:rFonts w:cs="Arial"/>
          <w:sz w:val="20"/>
        </w:rPr>
      </w:pPr>
      <w:r>
        <w:rPr>
          <w:noProof/>
          <w:lang w:eastAsia="en-CA"/>
        </w:rPr>
        <w:lastRenderedPageBreak/>
        <w:drawing>
          <wp:inline distT="0" distB="0" distL="0" distR="0" wp14:anchorId="43A31364" wp14:editId="442AD263">
            <wp:extent cx="4572000" cy="2743200"/>
            <wp:effectExtent l="0" t="0" r="0" b="0"/>
            <wp:docPr id="16" name="Chart 16">
              <a:extLst xmlns:a="http://schemas.openxmlformats.org/drawingml/2006/main">
                <a:ext uri="{FF2B5EF4-FFF2-40B4-BE49-F238E27FC236}">
                  <a16:creationId xmlns:a16="http://schemas.microsoft.com/office/drawing/2014/main" id="{30D14CBA-28CA-4FEA-BDA9-B63AD90CA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04634B" w14:textId="1572E24D" w:rsidR="00F25641" w:rsidRDefault="00EC35BD" w:rsidP="00936568">
      <w:pPr>
        <w:pStyle w:val="Caption"/>
        <w:rPr>
          <w:rFonts w:cs="Arial"/>
        </w:rPr>
      </w:pPr>
      <w:r>
        <w:t xml:space="preserve">Figure </w:t>
      </w:r>
      <w:r w:rsidR="00426AF5">
        <w:t>6</w:t>
      </w:r>
      <w:r w:rsidR="00F43366">
        <w:rPr>
          <w:noProof/>
        </w:rPr>
        <w:t>: Comparison between CL-625 and CL-</w:t>
      </w:r>
      <w:r w:rsidR="00966AD2">
        <w:rPr>
          <w:noProof/>
        </w:rPr>
        <w:t xml:space="preserve">625-ONT in producing </w:t>
      </w:r>
      <w:r w:rsidR="00936568">
        <w:rPr>
          <w:noProof/>
        </w:rPr>
        <w:t xml:space="preserve">maximum </w:t>
      </w:r>
      <w:r w:rsidR="00966AD2">
        <w:rPr>
          <w:noProof/>
        </w:rPr>
        <w:t>V</w:t>
      </w:r>
      <w:r w:rsidR="00966AD2" w:rsidRPr="00966AD2">
        <w:rPr>
          <w:noProof/>
          <w:vertAlign w:val="subscript"/>
        </w:rPr>
        <w:t>y</w:t>
      </w:r>
      <w:r w:rsidR="00966AD2">
        <w:rPr>
          <w:noProof/>
        </w:rPr>
        <w:t xml:space="preserve"> </w:t>
      </w:r>
      <w:r w:rsidR="00936568">
        <w:rPr>
          <w:noProof/>
        </w:rPr>
        <w:t>values</w:t>
      </w:r>
    </w:p>
    <w:p w14:paraId="132A3A88" w14:textId="203B77EF" w:rsidR="00EA0A35" w:rsidRPr="00EA5B0A" w:rsidRDefault="007C1EBD" w:rsidP="00EA5B0A">
      <w:pPr>
        <w:pStyle w:val="Heading1"/>
      </w:pPr>
      <w:bookmarkStart w:id="2" w:name="_GoBack"/>
      <w:r w:rsidRPr="00EA5B0A">
        <w:t xml:space="preserve">NEW </w:t>
      </w:r>
      <w:r w:rsidR="005E7553" w:rsidRPr="00EA5B0A">
        <w:t>DEVELOPED GRAPHS TO PROPOSE TO CHBDC</w:t>
      </w:r>
    </w:p>
    <w:bookmarkEnd w:id="2"/>
    <w:p w14:paraId="3C2C7535" w14:textId="16F5E76E" w:rsidR="00170B2D" w:rsidRDefault="00170B2D" w:rsidP="006B73E6">
      <w:pPr>
        <w:spacing w:before="200" w:after="0" w:line="240" w:lineRule="auto"/>
      </w:pPr>
      <w:r>
        <w:t xml:space="preserve">Based on the parametric study on almost 2370 runs by PLATO software </w:t>
      </w:r>
      <w:r w:rsidR="00EB505C">
        <w:t>on one</w:t>
      </w:r>
      <w:r w:rsidR="00C7475A">
        <w:t>-l</w:t>
      </w:r>
      <w:r w:rsidR="00EB505C">
        <w:t>ane to six</w:t>
      </w:r>
      <w:r w:rsidR="00C7475A">
        <w:t>-</w:t>
      </w:r>
      <w:r w:rsidR="00EB505C">
        <w:t>lane bridges with the span</w:t>
      </w:r>
      <w:r w:rsidR="00C7475A">
        <w:t xml:space="preserve"> lengths ranging from 3 m to 50 m and </w:t>
      </w:r>
      <w:r w:rsidR="00C7475A">
        <w:rPr>
          <w:rFonts w:cs="Arial"/>
        </w:rPr>
        <w:t>β</w:t>
      </w:r>
      <w:r w:rsidR="00C7475A">
        <w:t xml:space="preserve"> values ranging from 0.2 to 8, six charts, shown in Figure 7, were </w:t>
      </w:r>
      <w:r w:rsidR="00EB505C">
        <w:t>produced to calculate maximum transverse shear (</w:t>
      </w:r>
      <w:proofErr w:type="spellStart"/>
      <w:r w:rsidR="00EB505C">
        <w:t>V</w:t>
      </w:r>
      <w:r w:rsidR="00EB505C" w:rsidRPr="00EB505C">
        <w:rPr>
          <w:vertAlign w:val="subscript"/>
        </w:rPr>
        <w:t>y</w:t>
      </w:r>
      <w:proofErr w:type="spellEnd"/>
      <w:r w:rsidR="00EB505C">
        <w:t xml:space="preserve">) for shear-connected concrete beam bridges subjected to </w:t>
      </w:r>
      <w:r w:rsidR="00EB505C" w:rsidRPr="00C7475A">
        <w:t xml:space="preserve">CL-625 </w:t>
      </w:r>
      <w:r w:rsidR="00C7475A">
        <w:t>or CL-625-ONT t</w:t>
      </w:r>
      <w:r w:rsidR="00EB505C" w:rsidRPr="00C7475A">
        <w:t>ruck</w:t>
      </w:r>
      <w:r w:rsidR="00C7475A">
        <w:t>s</w:t>
      </w:r>
      <w:r w:rsidR="00EB505C" w:rsidRPr="00C7475A">
        <w:t>.</w:t>
      </w:r>
      <w:r w:rsidR="00F62569" w:rsidRPr="00C7475A">
        <w:t xml:space="preserve"> </w:t>
      </w:r>
      <w:r w:rsidR="00C7475A">
        <w:t xml:space="preserve">It should be noted that </w:t>
      </w:r>
      <w:r w:rsidR="00EB505C">
        <w:t>t</w:t>
      </w:r>
      <w:r>
        <w:t xml:space="preserve">he maximum intensity of transverse vertical shear </w:t>
      </w:r>
      <w:r w:rsidR="00C7475A">
        <w:t xml:space="preserve">in </w:t>
      </w:r>
      <w:proofErr w:type="spellStart"/>
      <w:r w:rsidR="00C7475A">
        <w:t>kN</w:t>
      </w:r>
      <w:proofErr w:type="spellEnd"/>
      <w:r w:rsidR="00C7475A">
        <w:t xml:space="preserve">/m determined using these new charts </w:t>
      </w:r>
      <w:r>
        <w:t>includ</w:t>
      </w:r>
      <w:r w:rsidR="00C7475A">
        <w:t>e the</w:t>
      </w:r>
      <w:r>
        <w:t xml:space="preserve"> dynamic load allowance</w:t>
      </w:r>
      <w:r w:rsidR="00E54012">
        <w:t>.</w:t>
      </w:r>
      <w:r w:rsidR="00C7475A">
        <w:t xml:space="preserve"> </w:t>
      </w:r>
      <w:r w:rsidR="00E54012">
        <w:t xml:space="preserve">These charts </w:t>
      </w:r>
      <w:r w:rsidR="000B2B3C">
        <w:t xml:space="preserve">were </w:t>
      </w:r>
      <w:r w:rsidR="00E54012">
        <w:t xml:space="preserve">proposed to </w:t>
      </w:r>
      <w:r w:rsidR="000B2B3C">
        <w:t>CHBDC to</w:t>
      </w:r>
      <w:r w:rsidR="00EB505C">
        <w:t xml:space="preserve"> replace </w:t>
      </w:r>
      <w:r w:rsidR="00E54012">
        <w:t xml:space="preserve">charts in </w:t>
      </w:r>
      <w:r w:rsidR="00EB505C">
        <w:t>Figure 5.6 of CHBDC</w:t>
      </w:r>
      <w:r w:rsidR="00E54012">
        <w:t xml:space="preserve"> 2014</w:t>
      </w:r>
      <w:r w:rsidR="00EB505C">
        <w:t xml:space="preserve">.  </w:t>
      </w:r>
      <w:r>
        <w:t xml:space="preserve">Linear interpolation for this intensity shall be used for widths falling between the widths specified in </w:t>
      </w:r>
      <w:r w:rsidR="00F62569">
        <w:t>this chart</w:t>
      </w:r>
      <w:r>
        <w:t>.</w:t>
      </w:r>
      <w:r w:rsidR="00F62569">
        <w:t xml:space="preserve"> </w:t>
      </w:r>
      <w:r>
        <w:t>Live load factor as specific in Clause 3.5.1</w:t>
      </w:r>
      <w:r w:rsidR="000B2B3C">
        <w:t xml:space="preserve"> of CHBDC 2014</w:t>
      </w:r>
      <w:r>
        <w:t xml:space="preserve"> shall be </w:t>
      </w:r>
      <w:r w:rsidR="00C7475A">
        <w:t xml:space="preserve">applied to </w:t>
      </w:r>
      <w:proofErr w:type="spellStart"/>
      <w:r w:rsidR="00C7475A">
        <w:t>V</w:t>
      </w:r>
      <w:r w:rsidR="00C7475A" w:rsidRPr="00C7475A">
        <w:rPr>
          <w:vertAlign w:val="subscript"/>
        </w:rPr>
        <w:t>y</w:t>
      </w:r>
      <w:proofErr w:type="spellEnd"/>
      <w:r w:rsidR="00C7475A">
        <w:t xml:space="preserve"> values obtained from these charts </w:t>
      </w:r>
      <w:r>
        <w:t>for ultimate limit state design</w:t>
      </w:r>
      <w:r w:rsidR="00C7475A">
        <w:t xml:space="preserve"> of the joints between precast box beams</w:t>
      </w:r>
      <w:r>
        <w:t>.</w:t>
      </w:r>
      <w:r w:rsidR="000B2B3C">
        <w:t xml:space="preserve"> </w:t>
      </w:r>
      <w:r>
        <w:t xml:space="preserve"> The value of β </w:t>
      </w:r>
      <w:r w:rsidR="00C7475A">
        <w:t xml:space="preserve">in these charts </w:t>
      </w:r>
      <w:r>
        <w:t>shall be calculated as follows:</w:t>
      </w:r>
    </w:p>
    <w:p w14:paraId="6BB5DC97" w14:textId="3D9FDA33" w:rsidR="006B73E6" w:rsidRPr="00AF483D" w:rsidRDefault="006B73E6" w:rsidP="006B73E6">
      <w:pPr>
        <w:spacing w:before="200" w:after="0" w:line="240" w:lineRule="auto"/>
        <w:jc w:val="left"/>
        <w:rPr>
          <w:rFonts w:ascii="Cambria Math" w:eastAsia="Calibri" w:hAnsi="Cambria Math" w:cs="Arial"/>
          <w:i/>
          <w:sz w:val="24"/>
        </w:rPr>
      </w:pPr>
      <w:r w:rsidRPr="00501F53">
        <w:t>[</w:t>
      </w:r>
      <w:r>
        <w:t>7</w:t>
      </w:r>
      <w:r w:rsidRPr="00501F53">
        <w:t>]</w:t>
      </w:r>
      <w:r>
        <w:t xml:space="preserve"> </w:t>
      </w:r>
      <m:oMath>
        <m:r>
          <w:rPr>
            <w:rFonts w:ascii="Cambria Math" w:eastAsia="Calibri" w:hAnsi="Cambria Math" w:cs="Arial"/>
            <w:sz w:val="24"/>
          </w:rPr>
          <m:t xml:space="preserve"> β= π(</m:t>
        </m:r>
        <m:f>
          <m:fPr>
            <m:ctrlPr>
              <w:rPr>
                <w:rFonts w:ascii="Cambria Math" w:eastAsia="Calibri" w:hAnsi="Cambria Math" w:cs="Arial"/>
                <w:i/>
                <w:sz w:val="24"/>
              </w:rPr>
            </m:ctrlPr>
          </m:fPr>
          <m:num>
            <m:r>
              <w:rPr>
                <w:rFonts w:ascii="Cambria Math" w:eastAsia="Calibri" w:hAnsi="Cambria Math" w:cs="Arial"/>
                <w:sz w:val="24"/>
              </w:rPr>
              <m:t>B</m:t>
            </m:r>
          </m:num>
          <m:den>
            <m:r>
              <w:rPr>
                <w:rFonts w:ascii="Cambria Math" w:eastAsia="Calibri" w:hAnsi="Cambria Math" w:cs="Arial"/>
                <w:sz w:val="24"/>
              </w:rPr>
              <m:t>L</m:t>
            </m:r>
          </m:den>
        </m:f>
        <m:r>
          <w:rPr>
            <w:rFonts w:ascii="Cambria Math" w:eastAsia="Calibri" w:hAnsi="Cambria Math" w:cs="Arial"/>
            <w:sz w:val="24"/>
          </w:rPr>
          <m:t>)</m:t>
        </m:r>
        <m:rad>
          <m:radPr>
            <m:degHide m:val="1"/>
            <m:ctrlPr>
              <w:rPr>
                <w:rFonts w:ascii="Cambria Math" w:eastAsia="Calibri" w:hAnsi="Cambria Math" w:cs="Arial"/>
                <w:i/>
                <w:sz w:val="24"/>
              </w:rPr>
            </m:ctrlPr>
          </m:radPr>
          <m:deg/>
          <m:e>
            <m:f>
              <m:fPr>
                <m:ctrlPr>
                  <w:rPr>
                    <w:rFonts w:ascii="Cambria Math" w:eastAsia="Calibri" w:hAnsi="Cambria Math" w:cs="Arial"/>
                    <w:i/>
                    <w:sz w:val="24"/>
                  </w:rPr>
                </m:ctrlPr>
              </m:fPr>
              <m:num>
                <m:sSub>
                  <m:sSubPr>
                    <m:ctrlPr>
                      <w:rPr>
                        <w:rFonts w:ascii="Cambria Math" w:eastAsia="Calibri" w:hAnsi="Cambria Math" w:cs="Arial"/>
                        <w:i/>
                        <w:sz w:val="24"/>
                      </w:rPr>
                    </m:ctrlPr>
                  </m:sSubPr>
                  <m:e>
                    <m:r>
                      <w:rPr>
                        <w:rFonts w:ascii="Cambria Math" w:eastAsia="Calibri" w:hAnsi="Cambria Math" w:cs="Arial"/>
                        <w:sz w:val="24"/>
                      </w:rPr>
                      <m:t>EI</m:t>
                    </m:r>
                  </m:e>
                  <m:sub>
                    <m:r>
                      <w:rPr>
                        <w:rFonts w:ascii="Cambria Math" w:eastAsia="Calibri" w:hAnsi="Cambria Math" w:cs="Arial"/>
                        <w:sz w:val="24"/>
                      </w:rPr>
                      <m:t>L</m:t>
                    </m:r>
                  </m:sub>
                </m:sSub>
              </m:num>
              <m:den>
                <m:sSub>
                  <m:sSubPr>
                    <m:ctrlPr>
                      <w:rPr>
                        <w:rFonts w:ascii="Cambria Math" w:eastAsia="Calibri" w:hAnsi="Cambria Math" w:cs="Arial"/>
                        <w:i/>
                        <w:sz w:val="24"/>
                      </w:rPr>
                    </m:ctrlPr>
                  </m:sSubPr>
                  <m:e>
                    <m:r>
                      <w:rPr>
                        <w:rFonts w:ascii="Cambria Math" w:eastAsia="Calibri" w:hAnsi="Cambria Math" w:cs="Arial"/>
                        <w:sz w:val="24"/>
                      </w:rPr>
                      <m:t>GJ</m:t>
                    </m:r>
                  </m:e>
                  <m:sub>
                    <m:r>
                      <w:rPr>
                        <w:rFonts w:ascii="Cambria Math" w:eastAsia="Calibri" w:hAnsi="Cambria Math" w:cs="Arial"/>
                        <w:sz w:val="24"/>
                      </w:rPr>
                      <m:t>L</m:t>
                    </m:r>
                  </m:sub>
                </m:sSub>
              </m:den>
            </m:f>
          </m:e>
        </m:rad>
      </m:oMath>
    </w:p>
    <w:p w14:paraId="55DE2DB5" w14:textId="064DB380" w:rsidR="005E7553" w:rsidRPr="005E7553" w:rsidRDefault="00170B2D" w:rsidP="006B73E6">
      <w:pPr>
        <w:spacing w:before="200" w:after="0" w:line="240" w:lineRule="auto"/>
        <w:jc w:val="left"/>
      </w:pPr>
      <w:r>
        <w:t>where EI</w:t>
      </w:r>
      <w:r w:rsidRPr="00C7475A">
        <w:rPr>
          <w:vertAlign w:val="subscript"/>
        </w:rPr>
        <w:t>L</w:t>
      </w:r>
      <w:r>
        <w:t xml:space="preserve"> and GJ</w:t>
      </w:r>
      <w:r w:rsidRPr="00C7475A">
        <w:rPr>
          <w:vertAlign w:val="subscript"/>
        </w:rPr>
        <w:t>L</w:t>
      </w:r>
      <w:r>
        <w:t xml:space="preserve"> are obtained for one girder.</w:t>
      </w:r>
    </w:p>
    <w:p w14:paraId="254249F6" w14:textId="03613E82" w:rsidR="00EA0A35" w:rsidRDefault="00DF7C4A" w:rsidP="006B73E6">
      <w:pPr>
        <w:pStyle w:val="BodyText"/>
        <w:rPr>
          <w:rFonts w:cs="Arial"/>
          <w:sz w:val="20"/>
        </w:rPr>
      </w:pPr>
      <w:r w:rsidRPr="00DF7C4A">
        <w:rPr>
          <w:rFonts w:cs="Arial"/>
          <w:sz w:val="20"/>
        </w:rPr>
        <w:t xml:space="preserve">For CL-W trucks with W greater than 625 </w:t>
      </w:r>
      <w:proofErr w:type="spellStart"/>
      <w:r w:rsidRPr="00DF7C4A">
        <w:rPr>
          <w:rFonts w:cs="Arial"/>
          <w:sz w:val="20"/>
        </w:rPr>
        <w:t>kN</w:t>
      </w:r>
      <w:proofErr w:type="spellEnd"/>
      <w:r w:rsidRPr="00DF7C4A">
        <w:rPr>
          <w:rFonts w:cs="Arial"/>
          <w:sz w:val="20"/>
        </w:rPr>
        <w:t xml:space="preserve">, the values of </w:t>
      </w:r>
      <w:proofErr w:type="spellStart"/>
      <w:r w:rsidRPr="00DF7C4A">
        <w:rPr>
          <w:rFonts w:cs="Arial"/>
          <w:sz w:val="20"/>
        </w:rPr>
        <w:t>V</w:t>
      </w:r>
      <w:r w:rsidRPr="00DF7C4A">
        <w:rPr>
          <w:rFonts w:cs="Arial"/>
          <w:sz w:val="20"/>
          <w:vertAlign w:val="subscript"/>
        </w:rPr>
        <w:t>y</w:t>
      </w:r>
      <w:proofErr w:type="spellEnd"/>
      <w:r w:rsidRPr="00DF7C4A">
        <w:rPr>
          <w:rFonts w:cs="Arial"/>
          <w:sz w:val="20"/>
        </w:rPr>
        <w:t xml:space="preserve"> obtained from </w:t>
      </w:r>
      <w:r>
        <w:rPr>
          <w:rFonts w:cs="Arial"/>
          <w:sz w:val="20"/>
        </w:rPr>
        <w:t>the new chart</w:t>
      </w:r>
      <w:r w:rsidRPr="00DF7C4A">
        <w:rPr>
          <w:rFonts w:cs="Arial"/>
          <w:sz w:val="20"/>
        </w:rPr>
        <w:t xml:space="preserve"> shall be multiplied by the factor W/625.</w:t>
      </w:r>
      <w:r>
        <w:rPr>
          <w:rFonts w:cs="Arial"/>
          <w:sz w:val="20"/>
        </w:rPr>
        <w:t xml:space="preserve"> </w:t>
      </w:r>
      <w:r w:rsidR="000B2B3C">
        <w:rPr>
          <w:rFonts w:cs="Arial"/>
          <w:sz w:val="20"/>
        </w:rPr>
        <w:t xml:space="preserve">It should be noted that this proposed method for calculating transverse shear intensity is more straightforward than previous simplified method provided by CHBDC 2014. Since, it does note require to apply any formula, and the </w:t>
      </w:r>
      <w:proofErr w:type="spellStart"/>
      <w:r w:rsidR="000B2B3C">
        <w:rPr>
          <w:rFonts w:cs="Arial"/>
          <w:sz w:val="20"/>
        </w:rPr>
        <w:t>V</w:t>
      </w:r>
      <w:r w:rsidR="000B2B3C" w:rsidRPr="000B2B3C">
        <w:rPr>
          <w:rFonts w:cs="Arial"/>
          <w:sz w:val="20"/>
          <w:vertAlign w:val="subscript"/>
        </w:rPr>
        <w:t>y</w:t>
      </w:r>
      <w:proofErr w:type="spellEnd"/>
      <w:r w:rsidR="000B2B3C">
        <w:rPr>
          <w:rFonts w:cs="Arial"/>
          <w:sz w:val="20"/>
        </w:rPr>
        <w:t xml:space="preserve"> intensity can be determined directly </w:t>
      </w:r>
      <w:r w:rsidR="00A77B44">
        <w:rPr>
          <w:rFonts w:cs="Arial"/>
          <w:sz w:val="20"/>
        </w:rPr>
        <w:t xml:space="preserve">from the charts. </w:t>
      </w:r>
    </w:p>
    <w:tbl>
      <w:tblPr>
        <w:tblStyle w:val="TableGrid"/>
        <w:tblW w:w="0" w:type="auto"/>
        <w:tblLayout w:type="fixed"/>
        <w:tblLook w:val="04A0" w:firstRow="1" w:lastRow="0" w:firstColumn="1" w:lastColumn="0" w:noHBand="0" w:noVBand="1"/>
      </w:tblPr>
      <w:tblGrid>
        <w:gridCol w:w="4815"/>
        <w:gridCol w:w="4535"/>
      </w:tblGrid>
      <w:tr w:rsidR="005E7553" w14:paraId="1253EEFD" w14:textId="77777777" w:rsidTr="005E7553">
        <w:tc>
          <w:tcPr>
            <w:tcW w:w="4815" w:type="dxa"/>
          </w:tcPr>
          <w:p w14:paraId="1E296349" w14:textId="13BF57E2" w:rsidR="005E7553" w:rsidRDefault="00F008CF" w:rsidP="00EA4EED">
            <w:pPr>
              <w:pStyle w:val="BodyText"/>
              <w:jc w:val="center"/>
              <w:rPr>
                <w:rFonts w:cs="Arial"/>
                <w:sz w:val="20"/>
              </w:rPr>
            </w:pPr>
            <w:r>
              <w:rPr>
                <w:rFonts w:cs="Arial"/>
                <w:noProof/>
                <w:sz w:val="20"/>
                <w:lang w:eastAsia="en-CA"/>
              </w:rPr>
              <w:lastRenderedPageBreak/>
              <w:drawing>
                <wp:inline distT="0" distB="0" distL="0" distR="0" wp14:anchorId="07096445" wp14:editId="2B4B7FCE">
                  <wp:extent cx="23904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400" cy="2160000"/>
                          </a:xfrm>
                          <a:prstGeom prst="rect">
                            <a:avLst/>
                          </a:prstGeom>
                          <a:noFill/>
                        </pic:spPr>
                      </pic:pic>
                    </a:graphicData>
                  </a:graphic>
                </wp:inline>
              </w:drawing>
            </w:r>
          </w:p>
        </w:tc>
        <w:tc>
          <w:tcPr>
            <w:tcW w:w="4535" w:type="dxa"/>
          </w:tcPr>
          <w:p w14:paraId="34D2B419" w14:textId="50FF44E8" w:rsidR="005E7553" w:rsidRDefault="006F587F" w:rsidP="00EA4EED">
            <w:pPr>
              <w:pStyle w:val="BodyText"/>
              <w:jc w:val="center"/>
              <w:rPr>
                <w:rFonts w:cs="Arial"/>
                <w:sz w:val="20"/>
              </w:rPr>
            </w:pPr>
            <w:r>
              <w:rPr>
                <w:rFonts w:cs="Arial"/>
                <w:noProof/>
                <w:sz w:val="20"/>
                <w:lang w:eastAsia="en-CA"/>
              </w:rPr>
              <w:drawing>
                <wp:inline distT="0" distB="0" distL="0" distR="0" wp14:anchorId="117C0F8B" wp14:editId="0A72C55A">
                  <wp:extent cx="2437200" cy="216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7200" cy="2160000"/>
                          </a:xfrm>
                          <a:prstGeom prst="rect">
                            <a:avLst/>
                          </a:prstGeom>
                          <a:noFill/>
                        </pic:spPr>
                      </pic:pic>
                    </a:graphicData>
                  </a:graphic>
                </wp:inline>
              </w:drawing>
            </w:r>
          </w:p>
        </w:tc>
      </w:tr>
      <w:tr w:rsidR="005E7553" w14:paraId="707B467E" w14:textId="77777777" w:rsidTr="005E7553">
        <w:tc>
          <w:tcPr>
            <w:tcW w:w="4815" w:type="dxa"/>
          </w:tcPr>
          <w:p w14:paraId="39041376" w14:textId="5490C151" w:rsidR="005E7553" w:rsidRDefault="005E7553" w:rsidP="006F587F">
            <w:pPr>
              <w:pStyle w:val="BodyText"/>
              <w:jc w:val="center"/>
              <w:rPr>
                <w:rFonts w:cs="Arial"/>
                <w:sz w:val="20"/>
              </w:rPr>
            </w:pPr>
            <w:r w:rsidRPr="005E7553">
              <w:rPr>
                <w:rFonts w:cs="Arial"/>
                <w:sz w:val="20"/>
              </w:rPr>
              <w:t xml:space="preserve">                 (a) B = 5.75 m         </w:t>
            </w:r>
          </w:p>
        </w:tc>
        <w:tc>
          <w:tcPr>
            <w:tcW w:w="4535" w:type="dxa"/>
          </w:tcPr>
          <w:p w14:paraId="6C6B6E81" w14:textId="6FFEF76C" w:rsidR="005E7553" w:rsidRDefault="005E7553" w:rsidP="00EA4EED">
            <w:pPr>
              <w:pStyle w:val="BodyText"/>
              <w:jc w:val="center"/>
              <w:rPr>
                <w:rFonts w:cs="Arial"/>
                <w:sz w:val="20"/>
              </w:rPr>
            </w:pPr>
            <w:r w:rsidRPr="005E7553">
              <w:rPr>
                <w:rFonts w:cs="Arial"/>
                <w:sz w:val="20"/>
              </w:rPr>
              <w:t>(b) B = 10 m</w:t>
            </w:r>
          </w:p>
        </w:tc>
      </w:tr>
      <w:tr w:rsidR="005E7553" w14:paraId="199E9238" w14:textId="77777777" w:rsidTr="005E7553">
        <w:tc>
          <w:tcPr>
            <w:tcW w:w="4815" w:type="dxa"/>
          </w:tcPr>
          <w:p w14:paraId="444C44E3" w14:textId="3B19F28F" w:rsidR="005E7553" w:rsidRDefault="006F587F" w:rsidP="00EA4EED">
            <w:pPr>
              <w:pStyle w:val="BodyText"/>
              <w:jc w:val="center"/>
              <w:rPr>
                <w:rFonts w:cs="Arial"/>
                <w:sz w:val="20"/>
              </w:rPr>
            </w:pPr>
            <w:r>
              <w:rPr>
                <w:rFonts w:cs="Arial"/>
                <w:noProof/>
                <w:sz w:val="20"/>
                <w:lang w:eastAsia="en-CA"/>
              </w:rPr>
              <w:drawing>
                <wp:inline distT="0" distB="0" distL="0" distR="0" wp14:anchorId="3568C1E8" wp14:editId="7009B40E">
                  <wp:extent cx="2433600" cy="21600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3600" cy="2160000"/>
                          </a:xfrm>
                          <a:prstGeom prst="rect">
                            <a:avLst/>
                          </a:prstGeom>
                          <a:noFill/>
                        </pic:spPr>
                      </pic:pic>
                    </a:graphicData>
                  </a:graphic>
                </wp:inline>
              </w:drawing>
            </w:r>
          </w:p>
        </w:tc>
        <w:tc>
          <w:tcPr>
            <w:tcW w:w="4535" w:type="dxa"/>
          </w:tcPr>
          <w:p w14:paraId="3CFB8EB5" w14:textId="35972143" w:rsidR="005E7553" w:rsidRDefault="006F587F" w:rsidP="00EA4EED">
            <w:pPr>
              <w:pStyle w:val="BodyText"/>
              <w:jc w:val="center"/>
              <w:rPr>
                <w:rFonts w:cs="Arial"/>
                <w:sz w:val="20"/>
              </w:rPr>
            </w:pPr>
            <w:r>
              <w:rPr>
                <w:rFonts w:cs="Arial"/>
                <w:noProof/>
                <w:sz w:val="20"/>
                <w:lang w:eastAsia="en-CA"/>
              </w:rPr>
              <w:drawing>
                <wp:inline distT="0" distB="0" distL="0" distR="0" wp14:anchorId="265A911D" wp14:editId="3F4D7D4A">
                  <wp:extent cx="2433600" cy="21600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3600" cy="2160000"/>
                          </a:xfrm>
                          <a:prstGeom prst="rect">
                            <a:avLst/>
                          </a:prstGeom>
                          <a:noFill/>
                        </pic:spPr>
                      </pic:pic>
                    </a:graphicData>
                  </a:graphic>
                </wp:inline>
              </w:drawing>
            </w:r>
          </w:p>
        </w:tc>
      </w:tr>
      <w:tr w:rsidR="005E7553" w14:paraId="242BC0AB" w14:textId="77777777" w:rsidTr="005E7553">
        <w:tc>
          <w:tcPr>
            <w:tcW w:w="4815" w:type="dxa"/>
          </w:tcPr>
          <w:p w14:paraId="735C275D" w14:textId="081F02AA" w:rsidR="005E7553" w:rsidRDefault="005E7553" w:rsidP="006F587F">
            <w:pPr>
              <w:pStyle w:val="BodyText"/>
              <w:jc w:val="center"/>
              <w:rPr>
                <w:rFonts w:cs="Arial"/>
                <w:sz w:val="20"/>
              </w:rPr>
            </w:pPr>
            <w:r w:rsidRPr="005E7553">
              <w:rPr>
                <w:rFonts w:cs="Arial"/>
                <w:sz w:val="20"/>
              </w:rPr>
              <w:t xml:space="preserve">             (c) B = 13.0 m</w:t>
            </w:r>
          </w:p>
        </w:tc>
        <w:tc>
          <w:tcPr>
            <w:tcW w:w="4535" w:type="dxa"/>
          </w:tcPr>
          <w:p w14:paraId="315EFD64" w14:textId="25620251" w:rsidR="005E7553" w:rsidRDefault="005E7553" w:rsidP="00EA4EED">
            <w:pPr>
              <w:pStyle w:val="BodyText"/>
              <w:jc w:val="center"/>
              <w:rPr>
                <w:rFonts w:cs="Arial"/>
                <w:sz w:val="20"/>
              </w:rPr>
            </w:pPr>
            <w:r w:rsidRPr="005E7553">
              <w:rPr>
                <w:rFonts w:cs="Arial"/>
                <w:sz w:val="20"/>
              </w:rPr>
              <w:t>(d) B = 16.5 m</w:t>
            </w:r>
          </w:p>
        </w:tc>
      </w:tr>
      <w:tr w:rsidR="005E7553" w14:paraId="0EC8D380" w14:textId="77777777" w:rsidTr="005E7553">
        <w:tc>
          <w:tcPr>
            <w:tcW w:w="4815" w:type="dxa"/>
          </w:tcPr>
          <w:p w14:paraId="3D8B23B5" w14:textId="24119245" w:rsidR="005E7553" w:rsidRDefault="006F587F" w:rsidP="00EA4EED">
            <w:pPr>
              <w:pStyle w:val="BodyText"/>
              <w:jc w:val="center"/>
              <w:rPr>
                <w:rFonts w:cs="Arial"/>
                <w:sz w:val="20"/>
              </w:rPr>
            </w:pPr>
            <w:r>
              <w:rPr>
                <w:rFonts w:cs="Arial"/>
                <w:noProof/>
                <w:sz w:val="20"/>
                <w:lang w:eastAsia="en-CA"/>
              </w:rPr>
              <w:drawing>
                <wp:inline distT="0" distB="0" distL="0" distR="0" wp14:anchorId="256B5770" wp14:editId="1ACC51A2">
                  <wp:extent cx="2444400" cy="21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4400" cy="2160000"/>
                          </a:xfrm>
                          <a:prstGeom prst="rect">
                            <a:avLst/>
                          </a:prstGeom>
                          <a:noFill/>
                        </pic:spPr>
                      </pic:pic>
                    </a:graphicData>
                  </a:graphic>
                </wp:inline>
              </w:drawing>
            </w:r>
          </w:p>
        </w:tc>
        <w:tc>
          <w:tcPr>
            <w:tcW w:w="4535" w:type="dxa"/>
          </w:tcPr>
          <w:p w14:paraId="1DE5AA74" w14:textId="0358A7FD" w:rsidR="005E7553" w:rsidRDefault="006F587F" w:rsidP="00EA4EED">
            <w:pPr>
              <w:pStyle w:val="BodyText"/>
              <w:jc w:val="center"/>
              <w:rPr>
                <w:rFonts w:cs="Arial"/>
                <w:sz w:val="20"/>
              </w:rPr>
            </w:pPr>
            <w:r>
              <w:rPr>
                <w:rFonts w:cs="Arial"/>
                <w:noProof/>
                <w:sz w:val="20"/>
                <w:lang w:eastAsia="en-CA"/>
              </w:rPr>
              <w:drawing>
                <wp:inline distT="0" distB="0" distL="0" distR="0" wp14:anchorId="21573E67" wp14:editId="2B646DD9">
                  <wp:extent cx="2444400" cy="21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4400" cy="2160000"/>
                          </a:xfrm>
                          <a:prstGeom prst="rect">
                            <a:avLst/>
                          </a:prstGeom>
                          <a:noFill/>
                        </pic:spPr>
                      </pic:pic>
                    </a:graphicData>
                  </a:graphic>
                </wp:inline>
              </w:drawing>
            </w:r>
          </w:p>
        </w:tc>
      </w:tr>
      <w:tr w:rsidR="005E7553" w14:paraId="7261A688" w14:textId="77777777" w:rsidTr="005E7553">
        <w:tc>
          <w:tcPr>
            <w:tcW w:w="4815" w:type="dxa"/>
          </w:tcPr>
          <w:p w14:paraId="4966812F" w14:textId="075B50CE" w:rsidR="005E7553" w:rsidRDefault="005E7553" w:rsidP="00EA4EED">
            <w:pPr>
              <w:pStyle w:val="BodyText"/>
              <w:jc w:val="center"/>
              <w:rPr>
                <w:rFonts w:cs="Arial"/>
                <w:sz w:val="20"/>
              </w:rPr>
            </w:pPr>
            <w:r w:rsidRPr="005E7553">
              <w:rPr>
                <w:rFonts w:cs="Arial"/>
                <w:sz w:val="20"/>
              </w:rPr>
              <w:t>(e) B = 20.0 m</w:t>
            </w:r>
          </w:p>
        </w:tc>
        <w:tc>
          <w:tcPr>
            <w:tcW w:w="4535" w:type="dxa"/>
          </w:tcPr>
          <w:p w14:paraId="7C76BDF0" w14:textId="5B19971E" w:rsidR="005E7553" w:rsidRDefault="005E7553" w:rsidP="00EA4EED">
            <w:pPr>
              <w:pStyle w:val="BodyText"/>
              <w:jc w:val="center"/>
              <w:rPr>
                <w:rFonts w:cs="Arial"/>
                <w:sz w:val="20"/>
              </w:rPr>
            </w:pPr>
            <w:r w:rsidRPr="005E7553">
              <w:rPr>
                <w:rFonts w:cs="Arial"/>
                <w:sz w:val="20"/>
              </w:rPr>
              <w:t>(f) B = 23.5 m</w:t>
            </w:r>
          </w:p>
        </w:tc>
      </w:tr>
    </w:tbl>
    <w:p w14:paraId="67635939" w14:textId="28F917B7" w:rsidR="00EA0A35" w:rsidRDefault="007D515C" w:rsidP="00426AF5">
      <w:pPr>
        <w:pStyle w:val="Caption"/>
        <w:rPr>
          <w:rFonts w:cs="Arial"/>
        </w:rPr>
      </w:pPr>
      <w:r>
        <w:t xml:space="preserve">Figure </w:t>
      </w:r>
      <w:r w:rsidR="00426AF5">
        <w:t>7</w:t>
      </w:r>
      <w:r w:rsidR="00AA518A">
        <w:t xml:space="preserve">: </w:t>
      </w:r>
      <w:r w:rsidR="00EC35BD" w:rsidRPr="00EC35BD">
        <w:t>Transverse vertical shear in shear-connected beam bridges</w:t>
      </w:r>
    </w:p>
    <w:p w14:paraId="3A37B80F" w14:textId="7D3BD42B" w:rsidR="00EA0A35" w:rsidRDefault="00F25641" w:rsidP="00EA4EED">
      <w:pPr>
        <w:pStyle w:val="Heading1"/>
      </w:pPr>
      <w:r>
        <w:lastRenderedPageBreak/>
        <w:t>CONCLUSIONS</w:t>
      </w:r>
    </w:p>
    <w:p w14:paraId="11CB0EB7" w14:textId="727C9996" w:rsidR="008A492B" w:rsidRDefault="008A492B" w:rsidP="008A492B">
      <w:pPr>
        <w:autoSpaceDE w:val="0"/>
        <w:autoSpaceDN w:val="0"/>
        <w:adjustRightInd w:val="0"/>
        <w:spacing w:before="0" w:after="0" w:line="240" w:lineRule="auto"/>
      </w:pPr>
      <w:r>
        <w:rPr>
          <w:rFonts w:asciiTheme="minorBidi" w:hAnsiTheme="minorBidi" w:cstheme="minorBidi"/>
          <w:szCs w:val="20"/>
          <w:lang w:eastAsia="en-CA"/>
        </w:rPr>
        <w:t>This paper presents the results from a practical-design-oriented parametric study to develop more reliable charts for the calculation of vertical transverse shear between adjacent box beams with either shear joints or shear-flexural joints between top flanges of connected box beams. The developed charts increase the scope of applicability of the existing charts in CHBDC of 2014 to one-, five- and six-lane bridges. Also, it increase the upper limit of the flexural-torsion parameter, β, from 2 to 8 to cover wide range of bridge geometry. Moreover, the developed charts are more reliable than those specified in CHBDC of 2014 since they included different truck loading conditions in design lanes.</w:t>
      </w:r>
    </w:p>
    <w:p w14:paraId="3E921880" w14:textId="24800B07" w:rsidR="009D4EB5" w:rsidRDefault="009D4EB5" w:rsidP="00EA4EED">
      <w:pPr>
        <w:pStyle w:val="Heading1"/>
        <w:numPr>
          <w:ilvl w:val="0"/>
          <w:numId w:val="0"/>
        </w:numPr>
      </w:pPr>
      <w:r>
        <w:t>Acknowledgements</w:t>
      </w:r>
    </w:p>
    <w:p w14:paraId="1B0EDEA4" w14:textId="6D426B33" w:rsidR="009D4EB5" w:rsidRPr="009D4EB5" w:rsidRDefault="009D4EB5" w:rsidP="009D4EB5">
      <w:r>
        <w:t xml:space="preserve">The authors acknowledge the Natural Science and Engineering Research Council of Canada (NSERC) for supporting this research. The authors would like to thank Technical Subcommittee of </w:t>
      </w:r>
      <w:r w:rsidRPr="009D4EB5">
        <w:rPr>
          <w:i/>
          <w:iCs/>
        </w:rPr>
        <w:t>Chapter 5: Structural Analysis</w:t>
      </w:r>
      <w:r>
        <w:t xml:space="preserve"> and Technical Committee of the Canadian Highway Bridge Code (CAN/CSA-S6-19) for </w:t>
      </w:r>
      <w:r w:rsidR="00FE7640">
        <w:t>including the</w:t>
      </w:r>
      <w:r>
        <w:t xml:space="preserve"> six developed charts in Figure 7 of this paper in the 2019 CHBDC Edition. </w:t>
      </w:r>
    </w:p>
    <w:p w14:paraId="4696B7AC" w14:textId="752034AB" w:rsidR="00EA0A35" w:rsidRDefault="00F25641" w:rsidP="00EA4EED">
      <w:pPr>
        <w:pStyle w:val="Heading1"/>
        <w:numPr>
          <w:ilvl w:val="0"/>
          <w:numId w:val="0"/>
        </w:numPr>
      </w:pPr>
      <w:r>
        <w:t>R</w:t>
      </w:r>
      <w:r w:rsidR="00377AA5">
        <w:t>eferences</w:t>
      </w:r>
    </w:p>
    <w:p w14:paraId="1F8FD162" w14:textId="12D81264" w:rsidR="00845E63" w:rsidRPr="00845E63" w:rsidRDefault="002D5328" w:rsidP="00EA4EED">
      <w:pPr>
        <w:pStyle w:val="Bibliography"/>
        <w:ind w:left="198" w:hanging="198"/>
        <w:jc w:val="left"/>
      </w:pPr>
      <w:r>
        <w:fldChar w:fldCharType="begin"/>
      </w:r>
      <w:r>
        <w:instrText xml:space="preserve"> ADDIN ZOTERO_BIBL {"uncited":[],"omitted":[],"custom":[]} CSL_BIBLIOGRAPHY </w:instrText>
      </w:r>
      <w:r>
        <w:fldChar w:fldCharType="separate"/>
      </w:r>
      <w:r w:rsidRPr="002D5328">
        <w:rPr>
          <w:rFonts w:cs="Arial"/>
        </w:rPr>
        <w:t xml:space="preserve">Bakht, B., and Mufti, A. 2015. </w:t>
      </w:r>
      <w:r w:rsidRPr="002D5328">
        <w:rPr>
          <w:rFonts w:cs="Arial"/>
          <w:i/>
          <w:iCs/>
        </w:rPr>
        <w:t>Bridges: Analysis, Design, Structural Health Monitoring, and Rehabilitation</w:t>
      </w:r>
      <w:r w:rsidRPr="002D5328">
        <w:rPr>
          <w:rFonts w:cs="Arial"/>
        </w:rPr>
        <w:t xml:space="preserve">. </w:t>
      </w:r>
      <w:r w:rsidR="00C90E7B">
        <w:rPr>
          <w:rStyle w:val="a"/>
        </w:rPr>
        <w:t>Springer</w:t>
      </w:r>
      <w:r w:rsidR="00845E63">
        <w:rPr>
          <w:rStyle w:val="a"/>
        </w:rPr>
        <w:t>, Switzerland</w:t>
      </w:r>
      <w:r w:rsidR="00377AA5">
        <w:rPr>
          <w:rStyle w:val="a"/>
        </w:rPr>
        <w:t>.</w:t>
      </w:r>
    </w:p>
    <w:p w14:paraId="09A807E0" w14:textId="3CF900D0" w:rsidR="002D5328" w:rsidRPr="002D5328" w:rsidRDefault="002D5328" w:rsidP="00EA4EED">
      <w:pPr>
        <w:pStyle w:val="Bibliography"/>
        <w:ind w:left="198" w:hanging="198"/>
        <w:jc w:val="left"/>
        <w:rPr>
          <w:rFonts w:cs="Arial"/>
        </w:rPr>
      </w:pPr>
      <w:r w:rsidRPr="002D5328">
        <w:rPr>
          <w:rFonts w:cs="Arial"/>
        </w:rPr>
        <w:t>Bakht B</w:t>
      </w:r>
      <w:r w:rsidR="00377AA5">
        <w:rPr>
          <w:rFonts w:cs="Arial"/>
        </w:rPr>
        <w:t>.</w:t>
      </w:r>
      <w:r w:rsidRPr="002D5328">
        <w:rPr>
          <w:rFonts w:cs="Arial"/>
        </w:rPr>
        <w:t>, Jaeger</w:t>
      </w:r>
      <w:r w:rsidR="00377AA5">
        <w:rPr>
          <w:rFonts w:cs="Arial"/>
        </w:rPr>
        <w:t>,</w:t>
      </w:r>
      <w:r w:rsidRPr="002D5328">
        <w:rPr>
          <w:rFonts w:cs="Arial"/>
        </w:rPr>
        <w:t xml:space="preserve"> L</w:t>
      </w:r>
      <w:r w:rsidR="00377AA5">
        <w:rPr>
          <w:rFonts w:cs="Arial"/>
        </w:rPr>
        <w:t>.</w:t>
      </w:r>
      <w:r w:rsidRPr="002D5328">
        <w:rPr>
          <w:rFonts w:cs="Arial"/>
        </w:rPr>
        <w:t xml:space="preserve"> G., and Cheung</w:t>
      </w:r>
      <w:r w:rsidR="00377AA5">
        <w:rPr>
          <w:rFonts w:cs="Arial"/>
        </w:rPr>
        <w:t>,</w:t>
      </w:r>
      <w:r w:rsidRPr="002D5328">
        <w:rPr>
          <w:rFonts w:cs="Arial"/>
        </w:rPr>
        <w:t xml:space="preserve"> M. S. </w:t>
      </w:r>
      <w:r w:rsidR="00377AA5">
        <w:rPr>
          <w:rFonts w:cs="Arial"/>
        </w:rPr>
        <w:t>1983</w:t>
      </w:r>
      <w:r w:rsidRPr="002D5328">
        <w:rPr>
          <w:rFonts w:cs="Arial"/>
        </w:rPr>
        <w:t xml:space="preserve">. Transverse Shear in Multibeam Bridges. </w:t>
      </w:r>
      <w:r w:rsidRPr="002D5328">
        <w:rPr>
          <w:rFonts w:cs="Arial"/>
          <w:i/>
          <w:iCs/>
        </w:rPr>
        <w:t>Journal of Structural Engineering</w:t>
      </w:r>
      <w:r w:rsidRPr="002D5328">
        <w:rPr>
          <w:rFonts w:cs="Arial"/>
        </w:rPr>
        <w:t xml:space="preserve">, </w:t>
      </w:r>
      <w:r w:rsidRPr="00845E63">
        <w:rPr>
          <w:rFonts w:cs="Arial"/>
          <w:b/>
        </w:rPr>
        <w:t>109</w:t>
      </w:r>
      <w:r w:rsidRPr="002D5328">
        <w:rPr>
          <w:rFonts w:cs="Arial"/>
        </w:rPr>
        <w:t>(4)</w:t>
      </w:r>
      <w:r w:rsidR="00377AA5">
        <w:rPr>
          <w:rFonts w:cs="Arial"/>
        </w:rPr>
        <w:t>:</w:t>
      </w:r>
      <w:r w:rsidRPr="002D5328">
        <w:rPr>
          <w:rFonts w:cs="Arial"/>
        </w:rPr>
        <w:t xml:space="preserve"> 936–949.</w:t>
      </w:r>
    </w:p>
    <w:p w14:paraId="1FA2F110" w14:textId="4C24ED34" w:rsidR="00894E19" w:rsidRDefault="00894E19" w:rsidP="003F7886">
      <w:pPr>
        <w:spacing w:before="0" w:after="0" w:line="240" w:lineRule="auto"/>
        <w:ind w:left="198" w:hanging="198"/>
        <w:jc w:val="left"/>
        <w:rPr>
          <w:rFonts w:cs="Arial"/>
          <w:szCs w:val="20"/>
        </w:rPr>
      </w:pPr>
      <w:r w:rsidRPr="003F7886">
        <w:t>Bakht</w:t>
      </w:r>
      <w:r w:rsidR="003F7886">
        <w:t xml:space="preserve">, B., Mufti, A., and Desai, Y. 2003. PLATO User Manual - Analysis of Orthotropic Plates. </w:t>
      </w:r>
      <w:r w:rsidR="00BB7769">
        <w:t xml:space="preserve">Technical Report, University of Manitoba, Manitoba, Canada. </w:t>
      </w:r>
    </w:p>
    <w:p w14:paraId="1AA3E8CD" w14:textId="158CC359" w:rsidR="00845E63" w:rsidRPr="00845E63" w:rsidRDefault="00845E63" w:rsidP="00EA4EED">
      <w:pPr>
        <w:spacing w:before="0" w:after="0" w:line="240" w:lineRule="auto"/>
        <w:ind w:left="198" w:hanging="198"/>
        <w:jc w:val="left"/>
        <w:rPr>
          <w:rFonts w:cs="Arial"/>
          <w:szCs w:val="20"/>
        </w:rPr>
      </w:pPr>
      <w:r w:rsidRPr="00845E63">
        <w:rPr>
          <w:rFonts w:cs="Arial"/>
          <w:szCs w:val="20"/>
        </w:rPr>
        <w:t xml:space="preserve">CSA. 2014a. </w:t>
      </w:r>
      <w:r w:rsidRPr="00845E63">
        <w:rPr>
          <w:rFonts w:cs="Arial"/>
          <w:i/>
          <w:szCs w:val="20"/>
        </w:rPr>
        <w:t xml:space="preserve">Canadian </w:t>
      </w:r>
      <w:r w:rsidR="00377AA5">
        <w:rPr>
          <w:rFonts w:cs="Arial"/>
          <w:i/>
          <w:szCs w:val="20"/>
        </w:rPr>
        <w:t>H</w:t>
      </w:r>
      <w:r w:rsidRPr="00845E63">
        <w:rPr>
          <w:rFonts w:cs="Arial"/>
          <w:i/>
          <w:szCs w:val="20"/>
        </w:rPr>
        <w:t xml:space="preserve">ighway </w:t>
      </w:r>
      <w:r w:rsidR="00377AA5">
        <w:rPr>
          <w:rFonts w:cs="Arial"/>
          <w:i/>
          <w:szCs w:val="20"/>
        </w:rPr>
        <w:t>B</w:t>
      </w:r>
      <w:r w:rsidRPr="00845E63">
        <w:rPr>
          <w:rFonts w:cs="Arial"/>
          <w:i/>
          <w:szCs w:val="20"/>
        </w:rPr>
        <w:t xml:space="preserve">ridge </w:t>
      </w:r>
      <w:r w:rsidR="00377AA5">
        <w:rPr>
          <w:rFonts w:cs="Arial"/>
          <w:i/>
          <w:szCs w:val="20"/>
        </w:rPr>
        <w:t>D</w:t>
      </w:r>
      <w:r w:rsidRPr="00845E63">
        <w:rPr>
          <w:rFonts w:cs="Arial"/>
          <w:i/>
          <w:szCs w:val="20"/>
        </w:rPr>
        <w:t xml:space="preserve">esign </w:t>
      </w:r>
      <w:r w:rsidR="00377AA5">
        <w:rPr>
          <w:rFonts w:cs="Arial"/>
          <w:i/>
          <w:szCs w:val="20"/>
        </w:rPr>
        <w:t>C</w:t>
      </w:r>
      <w:r w:rsidRPr="00845E63">
        <w:rPr>
          <w:rFonts w:cs="Arial"/>
          <w:i/>
          <w:szCs w:val="20"/>
        </w:rPr>
        <w:t>ode</w:t>
      </w:r>
      <w:r w:rsidRPr="00845E63">
        <w:rPr>
          <w:rFonts w:cs="Arial"/>
          <w:szCs w:val="20"/>
        </w:rPr>
        <w:t>, CAN/CSA</w:t>
      </w:r>
      <w:r w:rsidR="00377AA5">
        <w:rPr>
          <w:rFonts w:cs="Arial"/>
          <w:szCs w:val="20"/>
        </w:rPr>
        <w:t xml:space="preserve"> </w:t>
      </w:r>
      <w:r w:rsidRPr="00845E63">
        <w:rPr>
          <w:rFonts w:cs="Arial"/>
          <w:szCs w:val="20"/>
        </w:rPr>
        <w:t>S6</w:t>
      </w:r>
      <w:r w:rsidR="00377AA5">
        <w:rPr>
          <w:rFonts w:cs="Arial"/>
          <w:szCs w:val="20"/>
        </w:rPr>
        <w:t>-</w:t>
      </w:r>
      <w:r w:rsidRPr="00845E63">
        <w:rPr>
          <w:rFonts w:cs="Arial"/>
          <w:szCs w:val="20"/>
        </w:rPr>
        <w:t>14</w:t>
      </w:r>
      <w:r w:rsidR="00377AA5">
        <w:rPr>
          <w:rFonts w:cs="Arial"/>
          <w:szCs w:val="20"/>
        </w:rPr>
        <w:t>.</w:t>
      </w:r>
      <w:r w:rsidRPr="00845E63">
        <w:rPr>
          <w:rFonts w:cs="Arial"/>
          <w:szCs w:val="20"/>
        </w:rPr>
        <w:t xml:space="preserve"> Canadian Standard Association, Toronto, Ontario, Canada.</w:t>
      </w:r>
    </w:p>
    <w:p w14:paraId="5EFCA2AE" w14:textId="0FE55A56" w:rsidR="003B1AA3" w:rsidRDefault="003B1AA3" w:rsidP="003B1AA3">
      <w:pPr>
        <w:pStyle w:val="Bibliography"/>
        <w:ind w:left="198" w:hanging="198"/>
        <w:rPr>
          <w:rFonts w:cs="Arial"/>
        </w:rPr>
      </w:pPr>
      <w:r w:rsidRPr="003B1AA3">
        <w:rPr>
          <w:rFonts w:cs="Arial"/>
        </w:rPr>
        <w:t>Cusens, A. R., and Pama, R. P.</w:t>
      </w:r>
      <w:r w:rsidR="00495C1C">
        <w:rPr>
          <w:rFonts w:cs="Arial"/>
        </w:rPr>
        <w:t xml:space="preserve"> </w:t>
      </w:r>
      <w:r>
        <w:rPr>
          <w:rFonts w:cs="Arial"/>
        </w:rPr>
        <w:t xml:space="preserve">1975. </w:t>
      </w:r>
      <w:r w:rsidRPr="003B1AA3">
        <w:rPr>
          <w:rFonts w:cs="Arial"/>
        </w:rPr>
        <w:t>Bridge Deck Analysis</w:t>
      </w:r>
      <w:r>
        <w:rPr>
          <w:rFonts w:cs="Arial"/>
        </w:rPr>
        <w:t xml:space="preserve">. John Wiley and Sons </w:t>
      </w:r>
      <w:r w:rsidRPr="003B1AA3">
        <w:rPr>
          <w:rFonts w:cs="Arial"/>
        </w:rPr>
        <w:t>Inc. London, England</w:t>
      </w:r>
      <w:r>
        <w:rPr>
          <w:rFonts w:cs="Arial"/>
        </w:rPr>
        <w:t>.</w:t>
      </w:r>
    </w:p>
    <w:p w14:paraId="368294F8" w14:textId="6FF14E46" w:rsidR="002D5328" w:rsidRPr="002D5328" w:rsidRDefault="002D5328" w:rsidP="00EA4EED">
      <w:pPr>
        <w:pStyle w:val="Bibliography"/>
        <w:ind w:left="198" w:hanging="198"/>
        <w:jc w:val="left"/>
        <w:rPr>
          <w:rFonts w:cs="Arial"/>
        </w:rPr>
      </w:pPr>
      <w:r w:rsidRPr="002D5328">
        <w:rPr>
          <w:rFonts w:cs="Arial"/>
        </w:rPr>
        <w:t xml:space="preserve">Hanna, K. E. 2008. Behavior of adjacent precast prestressed concrete box girder bridges. </w:t>
      </w:r>
      <w:r w:rsidRPr="002D5328">
        <w:rPr>
          <w:rFonts w:cs="Arial"/>
          <w:i/>
          <w:iCs/>
        </w:rPr>
        <w:t xml:space="preserve">ETD </w:t>
      </w:r>
      <w:r w:rsidR="00377AA5">
        <w:rPr>
          <w:rFonts w:cs="Arial"/>
          <w:i/>
          <w:iCs/>
        </w:rPr>
        <w:t>C</w:t>
      </w:r>
      <w:r w:rsidRPr="002D5328">
        <w:rPr>
          <w:rFonts w:cs="Arial"/>
          <w:i/>
          <w:iCs/>
        </w:rPr>
        <w:t>ollection for University of Nebraska - Lincoln</w:t>
      </w:r>
      <w:r w:rsidRPr="002D5328">
        <w:rPr>
          <w:rFonts w:cs="Arial"/>
        </w:rPr>
        <w:t>, 1–166.</w:t>
      </w:r>
    </w:p>
    <w:p w14:paraId="4F3540D8" w14:textId="26171B6C" w:rsidR="000145E9" w:rsidRDefault="000145E9" w:rsidP="00812695">
      <w:pPr>
        <w:pStyle w:val="Bibliography"/>
        <w:ind w:left="198" w:hanging="198"/>
        <w:jc w:val="left"/>
        <w:rPr>
          <w:rFonts w:cs="Arial"/>
        </w:rPr>
      </w:pPr>
      <w:r>
        <w:rPr>
          <w:rFonts w:cs="Arial"/>
        </w:rPr>
        <w:t>Jajjawi, M. 201</w:t>
      </w:r>
      <w:r w:rsidR="00812695">
        <w:rPr>
          <w:rFonts w:cs="Arial"/>
        </w:rPr>
        <w:t>6</w:t>
      </w:r>
      <w:r>
        <w:rPr>
          <w:rFonts w:cs="Arial"/>
        </w:rPr>
        <w:t>. Simplified Method of Analysis for Adjacent Precast "Deck Free" Concrete Box Beams used in Accelerated Bridge Construction. M.A.SC. Thesis, Civil Engineering Department, Ryerson University, Toronto, Ontario, Canada.</w:t>
      </w:r>
    </w:p>
    <w:p w14:paraId="4A99BA4C" w14:textId="20C2170A" w:rsidR="002D5328" w:rsidRPr="002D5328" w:rsidRDefault="002D5328" w:rsidP="00EA4EED">
      <w:pPr>
        <w:pStyle w:val="Bibliography"/>
        <w:ind w:left="198" w:hanging="198"/>
        <w:jc w:val="left"/>
        <w:rPr>
          <w:rFonts w:cs="Arial"/>
        </w:rPr>
      </w:pPr>
      <w:r w:rsidRPr="002D5328">
        <w:rPr>
          <w:rFonts w:cs="Arial"/>
        </w:rPr>
        <w:t>Lopez de Murphy, M., Kim, J., Sang, Z., and Xiao, C. 2010. Determining More Effective Approaches for Grouting Shear Keys of Adjacent Box Beams.</w:t>
      </w:r>
    </w:p>
    <w:p w14:paraId="068CC50A" w14:textId="55A7E349" w:rsidR="002D5328" w:rsidRPr="002D5328" w:rsidRDefault="002D5328" w:rsidP="00EA4EED">
      <w:pPr>
        <w:pStyle w:val="Bibliography"/>
        <w:ind w:left="198" w:hanging="198"/>
        <w:jc w:val="left"/>
        <w:rPr>
          <w:rFonts w:cs="Arial"/>
        </w:rPr>
      </w:pPr>
      <w:r w:rsidRPr="002D5328">
        <w:rPr>
          <w:rFonts w:cs="Arial"/>
        </w:rPr>
        <w:t>Yuan</w:t>
      </w:r>
      <w:r w:rsidR="00377AA5">
        <w:rPr>
          <w:rFonts w:cs="Arial"/>
        </w:rPr>
        <w:t>,</w:t>
      </w:r>
      <w:r w:rsidRPr="002D5328">
        <w:rPr>
          <w:rFonts w:cs="Arial"/>
        </w:rPr>
        <w:t xml:space="preserve"> J</w:t>
      </w:r>
      <w:r w:rsidR="00377AA5">
        <w:rPr>
          <w:rFonts w:cs="Arial"/>
        </w:rPr>
        <w:t>.</w:t>
      </w:r>
      <w:r w:rsidRPr="002D5328">
        <w:rPr>
          <w:rFonts w:cs="Arial"/>
        </w:rPr>
        <w:t xml:space="preserve"> and Graybeal</w:t>
      </w:r>
      <w:r w:rsidR="00377AA5">
        <w:rPr>
          <w:rFonts w:cs="Arial"/>
        </w:rPr>
        <w:t xml:space="preserve">, </w:t>
      </w:r>
      <w:r w:rsidRPr="002D5328">
        <w:rPr>
          <w:rFonts w:cs="Arial"/>
        </w:rPr>
        <w:t>B</w:t>
      </w:r>
      <w:r w:rsidR="00377AA5">
        <w:rPr>
          <w:rFonts w:cs="Arial"/>
        </w:rPr>
        <w:t>.</w:t>
      </w:r>
      <w:r w:rsidRPr="002D5328">
        <w:rPr>
          <w:rFonts w:cs="Arial"/>
        </w:rPr>
        <w:t xml:space="preserve"> 2016. Full-Scale Testing of Shear Key Details for Precast Concrete Box-Beam Bridges. </w:t>
      </w:r>
      <w:r w:rsidRPr="002D5328">
        <w:rPr>
          <w:rFonts w:cs="Arial"/>
          <w:i/>
          <w:iCs/>
        </w:rPr>
        <w:t>Journal of Bridge Engineering</w:t>
      </w:r>
      <w:r w:rsidRPr="002D5328">
        <w:rPr>
          <w:rFonts w:cs="Arial"/>
        </w:rPr>
        <w:t xml:space="preserve">, </w:t>
      </w:r>
      <w:r w:rsidRPr="00845E63">
        <w:rPr>
          <w:rFonts w:cs="Arial"/>
          <w:b/>
        </w:rPr>
        <w:t>21</w:t>
      </w:r>
      <w:r w:rsidRPr="002D5328">
        <w:rPr>
          <w:rFonts w:cs="Arial"/>
        </w:rPr>
        <w:t>(9), 04016043.</w:t>
      </w:r>
    </w:p>
    <w:p w14:paraId="1D6F5030" w14:textId="151CD65E" w:rsidR="002D5328" w:rsidRPr="002D5328" w:rsidRDefault="002D5328" w:rsidP="00EA4EED">
      <w:pPr>
        <w:spacing w:line="240" w:lineRule="auto"/>
      </w:pPr>
      <w:r>
        <w:fldChar w:fldCharType="end"/>
      </w:r>
    </w:p>
    <w:sectPr w:rsidR="002D5328" w:rsidRPr="002D5328" w:rsidSect="001551FF">
      <w:headerReference w:type="default" r:id="rId33"/>
      <w:foot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A7CB0" w14:textId="77777777" w:rsidR="00331110" w:rsidRDefault="00331110" w:rsidP="002276C2">
      <w:pPr>
        <w:spacing w:after="0" w:line="240" w:lineRule="auto"/>
      </w:pPr>
      <w:r>
        <w:separator/>
      </w:r>
    </w:p>
  </w:endnote>
  <w:endnote w:type="continuationSeparator" w:id="0">
    <w:p w14:paraId="1CC67A12" w14:textId="77777777" w:rsidR="00331110" w:rsidRDefault="00331110" w:rsidP="0022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lag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ECC9" w14:textId="5208A1DF" w:rsidR="00722957" w:rsidRDefault="00722957" w:rsidP="001551FF">
    <w:pPr>
      <w:pStyle w:val="Footer"/>
      <w:jc w:val="center"/>
    </w:pPr>
    <w:r>
      <w:t>96</w:t>
    </w:r>
    <w:sdt>
      <w:sdtPr>
        <w:id w:val="1615630444"/>
        <w:docPartObj>
          <w:docPartGallery w:val="Page Numbers (Bottom of Page)"/>
          <w:docPartUnique/>
        </w:docPartObj>
      </w:sdtPr>
      <w:sdtEndPr>
        <w:rPr>
          <w:noProof/>
        </w:rPr>
      </w:sdtEndPr>
      <w:sdtContent>
        <w:r>
          <w:t>-</w:t>
        </w:r>
        <w:r>
          <w:fldChar w:fldCharType="begin"/>
        </w:r>
        <w:r>
          <w:instrText xml:space="preserve"> PAGE   \* MERGEFORMAT </w:instrText>
        </w:r>
        <w:r>
          <w:fldChar w:fldCharType="separate"/>
        </w:r>
        <w:r w:rsidR="009D4EB5">
          <w:rPr>
            <w:noProof/>
          </w:rPr>
          <w:t>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6FFEA" w14:textId="77777777" w:rsidR="00331110" w:rsidRDefault="00331110" w:rsidP="002276C2">
      <w:pPr>
        <w:spacing w:after="0" w:line="240" w:lineRule="auto"/>
      </w:pPr>
      <w:r>
        <w:separator/>
      </w:r>
    </w:p>
  </w:footnote>
  <w:footnote w:type="continuationSeparator" w:id="0">
    <w:p w14:paraId="67E92D0B" w14:textId="77777777" w:rsidR="00331110" w:rsidRDefault="00331110" w:rsidP="0022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6513" w14:textId="77777777" w:rsidR="00722957" w:rsidRDefault="00722957">
    <w:pPr>
      <w:pStyle w:val="Header"/>
    </w:pPr>
  </w:p>
  <w:p w14:paraId="59A77580" w14:textId="77777777" w:rsidR="00722957" w:rsidRDefault="0072295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A0346508"/>
    <w:lvl w:ilvl="0">
      <w:start w:val="1"/>
      <w:numFmt w:val="decimal"/>
      <w:pStyle w:val="ListBullet3"/>
      <w:lvlText w:val="%1."/>
      <w:lvlJc w:val="left"/>
      <w:pPr>
        <w:tabs>
          <w:tab w:val="num" w:pos="2126"/>
        </w:tabs>
        <w:ind w:left="2126" w:hanging="360"/>
      </w:pPr>
      <w:rPr>
        <w:rFonts w:cs="Times New Roman"/>
      </w:rPr>
    </w:lvl>
  </w:abstractNum>
  <w:abstractNum w:abstractNumId="1" w15:restartNumberingAfterBreak="0">
    <w:nsid w:val="FFFFFF7F"/>
    <w:multiLevelType w:val="singleLevel"/>
    <w:tmpl w:val="751AC860"/>
    <w:lvl w:ilvl="0">
      <w:start w:val="1"/>
      <w:numFmt w:val="decimal"/>
      <w:pStyle w:val="ListBullet2"/>
      <w:lvlText w:val="%1."/>
      <w:lvlJc w:val="left"/>
      <w:pPr>
        <w:tabs>
          <w:tab w:val="num" w:pos="643"/>
        </w:tabs>
        <w:ind w:left="643" w:hanging="360"/>
      </w:pPr>
      <w:rPr>
        <w:rFonts w:cs="Times New Roman"/>
      </w:rPr>
    </w:lvl>
  </w:abstractNum>
  <w:abstractNum w:abstractNumId="2" w15:restartNumberingAfterBreak="0">
    <w:nsid w:val="FFFFFF82"/>
    <w:multiLevelType w:val="singleLevel"/>
    <w:tmpl w:val="01BA8B10"/>
    <w:lvl w:ilvl="0">
      <w:start w:val="1"/>
      <w:numFmt w:val="bullet"/>
      <w:pStyle w:val="ListNumber"/>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1AD182"/>
    <w:lvl w:ilvl="0">
      <w:start w:val="1"/>
      <w:numFmt w:val="bullet"/>
      <w:pStyle w:val="Heading9"/>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787254"/>
    <w:lvl w:ilvl="0">
      <w:start w:val="1"/>
      <w:numFmt w:val="decimal"/>
      <w:pStyle w:val="ListNumber2"/>
      <w:lvlText w:val="%1."/>
      <w:lvlJc w:val="left"/>
      <w:pPr>
        <w:tabs>
          <w:tab w:val="num" w:pos="360"/>
        </w:tabs>
        <w:ind w:left="360" w:hanging="360"/>
      </w:pPr>
      <w:rPr>
        <w:rFonts w:cs="Times New Roman"/>
      </w:rPr>
    </w:lvl>
  </w:abstractNum>
  <w:abstractNum w:abstractNumId="5" w15:restartNumberingAfterBreak="0">
    <w:nsid w:val="0E91134C"/>
    <w:multiLevelType w:val="hybridMultilevel"/>
    <w:tmpl w:val="0DAE2B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B13D88"/>
    <w:multiLevelType w:val="multilevel"/>
    <w:tmpl w:val="E9E21BF6"/>
    <w:lvl w:ilvl="0">
      <w:start w:val="1"/>
      <w:numFmt w:val="decimal"/>
      <w:pStyle w:val="Heading1"/>
      <w:lvlText w:val="%1"/>
      <w:lvlJc w:val="left"/>
      <w:pPr>
        <w:ind w:left="1142" w:hanging="432"/>
      </w:pPr>
      <w:rPr>
        <w:rFonts w:cs="Times New Roman"/>
      </w:rPr>
    </w:lvl>
    <w:lvl w:ilvl="1">
      <w:start w:val="1"/>
      <w:numFmt w:val="decimal"/>
      <w:pStyle w:val="Heading2"/>
      <w:lvlText w:val="%1.%2"/>
      <w:lvlJc w:val="left"/>
      <w:pPr>
        <w:ind w:left="718"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2AC042F5"/>
    <w:multiLevelType w:val="hybridMultilevel"/>
    <w:tmpl w:val="A2D0A476"/>
    <w:lvl w:ilvl="0" w:tplc="440E2CF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3A2111"/>
    <w:multiLevelType w:val="hybridMultilevel"/>
    <w:tmpl w:val="A5D45908"/>
    <w:lvl w:ilvl="0" w:tplc="9FDC3C8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A06219"/>
    <w:multiLevelType w:val="hybridMultilevel"/>
    <w:tmpl w:val="1E981D0C"/>
    <w:lvl w:ilvl="0" w:tplc="8F066B9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1556E4A"/>
    <w:multiLevelType w:val="hybridMultilevel"/>
    <w:tmpl w:val="15DAB204"/>
    <w:lvl w:ilvl="0" w:tplc="C72A37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DF7045C"/>
    <w:multiLevelType w:val="hybridMultilevel"/>
    <w:tmpl w:val="FBE89FE4"/>
    <w:lvl w:ilvl="0" w:tplc="10090017">
      <w:start w:val="1"/>
      <w:numFmt w:val="lowerLetter"/>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6A05009"/>
    <w:multiLevelType w:val="hybridMultilevel"/>
    <w:tmpl w:val="2BB8BA16"/>
    <w:lvl w:ilvl="0" w:tplc="11CAF33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6C02617"/>
    <w:multiLevelType w:val="hybridMultilevel"/>
    <w:tmpl w:val="2D846ABE"/>
    <w:lvl w:ilvl="0" w:tplc="DDE6623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 w:numId="6">
    <w:abstractNumId w:val="6"/>
  </w:num>
  <w:num w:numId="7">
    <w:abstractNumId w:val="11"/>
  </w:num>
  <w:num w:numId="8">
    <w:abstractNumId w:val="8"/>
  </w:num>
  <w:num w:numId="9">
    <w:abstractNumId w:val="5"/>
  </w:num>
  <w:num w:numId="10">
    <w:abstractNumId w:val="12"/>
  </w:num>
  <w:num w:numId="11">
    <w:abstractNumId w:val="10"/>
  </w:num>
  <w:num w:numId="12">
    <w:abstractNumId w:val="7"/>
  </w:num>
  <w:num w:numId="13">
    <w:abstractNumId w:val="9"/>
  </w:num>
  <w:num w:numId="14">
    <w:abstractNumId w:val="6"/>
    <w:lvlOverride w:ilvl="0">
      <w:startOverride w:val="6"/>
    </w:lvlOverride>
  </w:num>
  <w:num w:numId="15">
    <w:abstractNumId w:val="13"/>
  </w:num>
  <w:num w:numId="16">
    <w:abstractNumId w:val="6"/>
    <w:lvlOverride w:ilvl="0">
      <w:startOverride w:val="5"/>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1BD"/>
    <w:rsid w:val="000025DC"/>
    <w:rsid w:val="0000386E"/>
    <w:rsid w:val="000067A8"/>
    <w:rsid w:val="0000759D"/>
    <w:rsid w:val="00010C4E"/>
    <w:rsid w:val="000145E9"/>
    <w:rsid w:val="00014DF8"/>
    <w:rsid w:val="000150D8"/>
    <w:rsid w:val="00023C01"/>
    <w:rsid w:val="000249DC"/>
    <w:rsid w:val="00030B8A"/>
    <w:rsid w:val="000323F7"/>
    <w:rsid w:val="00032798"/>
    <w:rsid w:val="00033F37"/>
    <w:rsid w:val="000343B3"/>
    <w:rsid w:val="00037B03"/>
    <w:rsid w:val="00041214"/>
    <w:rsid w:val="000425EB"/>
    <w:rsid w:val="000437F5"/>
    <w:rsid w:val="00053D40"/>
    <w:rsid w:val="000603DB"/>
    <w:rsid w:val="000625D4"/>
    <w:rsid w:val="00076636"/>
    <w:rsid w:val="000767A2"/>
    <w:rsid w:val="00080DC6"/>
    <w:rsid w:val="00087060"/>
    <w:rsid w:val="00091983"/>
    <w:rsid w:val="00093E12"/>
    <w:rsid w:val="00094621"/>
    <w:rsid w:val="000946F3"/>
    <w:rsid w:val="000952F4"/>
    <w:rsid w:val="00095990"/>
    <w:rsid w:val="000A308F"/>
    <w:rsid w:val="000A41EA"/>
    <w:rsid w:val="000B2B3C"/>
    <w:rsid w:val="000B3758"/>
    <w:rsid w:val="000B4B59"/>
    <w:rsid w:val="000C3EEC"/>
    <w:rsid w:val="000C5611"/>
    <w:rsid w:val="000D0EA4"/>
    <w:rsid w:val="000D1143"/>
    <w:rsid w:val="000D1B4D"/>
    <w:rsid w:val="000D687C"/>
    <w:rsid w:val="000E5B4B"/>
    <w:rsid w:val="0010421E"/>
    <w:rsid w:val="0010613B"/>
    <w:rsid w:val="00110634"/>
    <w:rsid w:val="001107A8"/>
    <w:rsid w:val="00116E69"/>
    <w:rsid w:val="00117599"/>
    <w:rsid w:val="001216FD"/>
    <w:rsid w:val="001218F2"/>
    <w:rsid w:val="0012340B"/>
    <w:rsid w:val="00124873"/>
    <w:rsid w:val="0012671F"/>
    <w:rsid w:val="00130FF0"/>
    <w:rsid w:val="00131F1B"/>
    <w:rsid w:val="00141AFC"/>
    <w:rsid w:val="00141CC1"/>
    <w:rsid w:val="00145A9E"/>
    <w:rsid w:val="001510AD"/>
    <w:rsid w:val="001551FF"/>
    <w:rsid w:val="001575B4"/>
    <w:rsid w:val="00160E10"/>
    <w:rsid w:val="00163037"/>
    <w:rsid w:val="00170B2D"/>
    <w:rsid w:val="00174698"/>
    <w:rsid w:val="00175C77"/>
    <w:rsid w:val="00175DF2"/>
    <w:rsid w:val="0018762B"/>
    <w:rsid w:val="00190654"/>
    <w:rsid w:val="0019379C"/>
    <w:rsid w:val="0019436E"/>
    <w:rsid w:val="0019735F"/>
    <w:rsid w:val="001A0271"/>
    <w:rsid w:val="001A278B"/>
    <w:rsid w:val="001A50F2"/>
    <w:rsid w:val="001B06DA"/>
    <w:rsid w:val="001B1BCE"/>
    <w:rsid w:val="001C1E0F"/>
    <w:rsid w:val="001D0BEE"/>
    <w:rsid w:val="001D4E4E"/>
    <w:rsid w:val="001E305F"/>
    <w:rsid w:val="001E7768"/>
    <w:rsid w:val="001F2B10"/>
    <w:rsid w:val="0020117C"/>
    <w:rsid w:val="00202055"/>
    <w:rsid w:val="00202E3B"/>
    <w:rsid w:val="00203665"/>
    <w:rsid w:val="00203C08"/>
    <w:rsid w:val="00204BDD"/>
    <w:rsid w:val="00204BE9"/>
    <w:rsid w:val="002063A4"/>
    <w:rsid w:val="002148BA"/>
    <w:rsid w:val="00215FE3"/>
    <w:rsid w:val="00221559"/>
    <w:rsid w:val="00221EAF"/>
    <w:rsid w:val="00223D1B"/>
    <w:rsid w:val="0022599B"/>
    <w:rsid w:val="002276C2"/>
    <w:rsid w:val="00230B63"/>
    <w:rsid w:val="002349CC"/>
    <w:rsid w:val="00234D43"/>
    <w:rsid w:val="00235EA6"/>
    <w:rsid w:val="0023790E"/>
    <w:rsid w:val="00242213"/>
    <w:rsid w:val="00244A26"/>
    <w:rsid w:val="002452B2"/>
    <w:rsid w:val="00246C19"/>
    <w:rsid w:val="00246F18"/>
    <w:rsid w:val="00251FD2"/>
    <w:rsid w:val="0025273E"/>
    <w:rsid w:val="00252D81"/>
    <w:rsid w:val="0025324F"/>
    <w:rsid w:val="00260435"/>
    <w:rsid w:val="00260E54"/>
    <w:rsid w:val="00260E7C"/>
    <w:rsid w:val="00261986"/>
    <w:rsid w:val="00262201"/>
    <w:rsid w:val="00262347"/>
    <w:rsid w:val="0026477A"/>
    <w:rsid w:val="00265E73"/>
    <w:rsid w:val="002675D2"/>
    <w:rsid w:val="002730AC"/>
    <w:rsid w:val="0027433D"/>
    <w:rsid w:val="00281318"/>
    <w:rsid w:val="00283FAE"/>
    <w:rsid w:val="00284547"/>
    <w:rsid w:val="00284BFF"/>
    <w:rsid w:val="002863FD"/>
    <w:rsid w:val="00286AE3"/>
    <w:rsid w:val="00291439"/>
    <w:rsid w:val="002A0E3E"/>
    <w:rsid w:val="002A0E4C"/>
    <w:rsid w:val="002A3901"/>
    <w:rsid w:val="002A44CE"/>
    <w:rsid w:val="002A4896"/>
    <w:rsid w:val="002B074D"/>
    <w:rsid w:val="002B7517"/>
    <w:rsid w:val="002C0C71"/>
    <w:rsid w:val="002C2021"/>
    <w:rsid w:val="002C2AC0"/>
    <w:rsid w:val="002C4DF0"/>
    <w:rsid w:val="002C52BE"/>
    <w:rsid w:val="002C65FF"/>
    <w:rsid w:val="002D25C3"/>
    <w:rsid w:val="002D5328"/>
    <w:rsid w:val="002E1347"/>
    <w:rsid w:val="002E2186"/>
    <w:rsid w:val="002E26F2"/>
    <w:rsid w:val="002E2FA7"/>
    <w:rsid w:val="002E5850"/>
    <w:rsid w:val="002E7B44"/>
    <w:rsid w:val="002F352C"/>
    <w:rsid w:val="00301EE4"/>
    <w:rsid w:val="00302B6F"/>
    <w:rsid w:val="0030699B"/>
    <w:rsid w:val="00306D60"/>
    <w:rsid w:val="003105DB"/>
    <w:rsid w:val="00310E1E"/>
    <w:rsid w:val="003145F2"/>
    <w:rsid w:val="00314736"/>
    <w:rsid w:val="003178C8"/>
    <w:rsid w:val="003179E2"/>
    <w:rsid w:val="00324F5A"/>
    <w:rsid w:val="0032753B"/>
    <w:rsid w:val="00331110"/>
    <w:rsid w:val="0033229B"/>
    <w:rsid w:val="00334A31"/>
    <w:rsid w:val="00334E63"/>
    <w:rsid w:val="003351FE"/>
    <w:rsid w:val="00352F52"/>
    <w:rsid w:val="00356A7E"/>
    <w:rsid w:val="00360F12"/>
    <w:rsid w:val="003615BF"/>
    <w:rsid w:val="003642A0"/>
    <w:rsid w:val="0036440A"/>
    <w:rsid w:val="0036570F"/>
    <w:rsid w:val="003723A6"/>
    <w:rsid w:val="00372B86"/>
    <w:rsid w:val="00374B34"/>
    <w:rsid w:val="003758F7"/>
    <w:rsid w:val="003777C3"/>
    <w:rsid w:val="00377AA5"/>
    <w:rsid w:val="00385667"/>
    <w:rsid w:val="00385F44"/>
    <w:rsid w:val="00386B70"/>
    <w:rsid w:val="003871BD"/>
    <w:rsid w:val="00387DB1"/>
    <w:rsid w:val="003973CE"/>
    <w:rsid w:val="00397D51"/>
    <w:rsid w:val="003A00F6"/>
    <w:rsid w:val="003A05DD"/>
    <w:rsid w:val="003A38D5"/>
    <w:rsid w:val="003A3E70"/>
    <w:rsid w:val="003B1AA3"/>
    <w:rsid w:val="003B218B"/>
    <w:rsid w:val="003B2E5E"/>
    <w:rsid w:val="003B4B45"/>
    <w:rsid w:val="003B4D69"/>
    <w:rsid w:val="003B5197"/>
    <w:rsid w:val="003B6949"/>
    <w:rsid w:val="003C1545"/>
    <w:rsid w:val="003C3DF5"/>
    <w:rsid w:val="003C4C02"/>
    <w:rsid w:val="003C5A92"/>
    <w:rsid w:val="003D75E9"/>
    <w:rsid w:val="003D7C5D"/>
    <w:rsid w:val="003E4512"/>
    <w:rsid w:val="003E47B1"/>
    <w:rsid w:val="003E72F3"/>
    <w:rsid w:val="003E77AA"/>
    <w:rsid w:val="003F0135"/>
    <w:rsid w:val="003F1BFB"/>
    <w:rsid w:val="003F4ABF"/>
    <w:rsid w:val="003F7886"/>
    <w:rsid w:val="003F7F4B"/>
    <w:rsid w:val="004039B1"/>
    <w:rsid w:val="00403D69"/>
    <w:rsid w:val="00406694"/>
    <w:rsid w:val="0041478A"/>
    <w:rsid w:val="0041532B"/>
    <w:rsid w:val="00416864"/>
    <w:rsid w:val="004203E8"/>
    <w:rsid w:val="00421868"/>
    <w:rsid w:val="00422F68"/>
    <w:rsid w:val="00426AF5"/>
    <w:rsid w:val="00430246"/>
    <w:rsid w:val="004306E0"/>
    <w:rsid w:val="004333A9"/>
    <w:rsid w:val="00433734"/>
    <w:rsid w:val="00446294"/>
    <w:rsid w:val="00455CEA"/>
    <w:rsid w:val="004568AE"/>
    <w:rsid w:val="00462632"/>
    <w:rsid w:val="004639C9"/>
    <w:rsid w:val="0046502A"/>
    <w:rsid w:val="00467B3D"/>
    <w:rsid w:val="00474C4F"/>
    <w:rsid w:val="00476EDC"/>
    <w:rsid w:val="00481034"/>
    <w:rsid w:val="004857E8"/>
    <w:rsid w:val="00485812"/>
    <w:rsid w:val="00491EDC"/>
    <w:rsid w:val="004924DA"/>
    <w:rsid w:val="00495C1C"/>
    <w:rsid w:val="00496C66"/>
    <w:rsid w:val="004A3C63"/>
    <w:rsid w:val="004A625D"/>
    <w:rsid w:val="004A634D"/>
    <w:rsid w:val="004B37B7"/>
    <w:rsid w:val="004B5D6F"/>
    <w:rsid w:val="004B602E"/>
    <w:rsid w:val="004C0554"/>
    <w:rsid w:val="004C0B19"/>
    <w:rsid w:val="004C0FDC"/>
    <w:rsid w:val="004C1129"/>
    <w:rsid w:val="004C15F6"/>
    <w:rsid w:val="004C7727"/>
    <w:rsid w:val="004D34E0"/>
    <w:rsid w:val="004D4A53"/>
    <w:rsid w:val="004D55FF"/>
    <w:rsid w:val="004D6B08"/>
    <w:rsid w:val="004F2761"/>
    <w:rsid w:val="004F38CC"/>
    <w:rsid w:val="004F40E8"/>
    <w:rsid w:val="004F5AA6"/>
    <w:rsid w:val="005019F7"/>
    <w:rsid w:val="00501E82"/>
    <w:rsid w:val="00501F53"/>
    <w:rsid w:val="00506562"/>
    <w:rsid w:val="00506D48"/>
    <w:rsid w:val="0050769B"/>
    <w:rsid w:val="0050783A"/>
    <w:rsid w:val="00516559"/>
    <w:rsid w:val="00521F91"/>
    <w:rsid w:val="005228E7"/>
    <w:rsid w:val="00522F93"/>
    <w:rsid w:val="00522FC2"/>
    <w:rsid w:val="0052694C"/>
    <w:rsid w:val="005334B8"/>
    <w:rsid w:val="00534788"/>
    <w:rsid w:val="0053498A"/>
    <w:rsid w:val="00534F77"/>
    <w:rsid w:val="00540F32"/>
    <w:rsid w:val="00540FDA"/>
    <w:rsid w:val="005426C2"/>
    <w:rsid w:val="00542A28"/>
    <w:rsid w:val="00546E81"/>
    <w:rsid w:val="00550BA5"/>
    <w:rsid w:val="0055332F"/>
    <w:rsid w:val="00554FEA"/>
    <w:rsid w:val="0055622E"/>
    <w:rsid w:val="005719A0"/>
    <w:rsid w:val="005740A0"/>
    <w:rsid w:val="00575331"/>
    <w:rsid w:val="005765FF"/>
    <w:rsid w:val="0057681E"/>
    <w:rsid w:val="00576BF3"/>
    <w:rsid w:val="00577116"/>
    <w:rsid w:val="00577943"/>
    <w:rsid w:val="00577CC7"/>
    <w:rsid w:val="00580861"/>
    <w:rsid w:val="00582499"/>
    <w:rsid w:val="00583F0F"/>
    <w:rsid w:val="00584266"/>
    <w:rsid w:val="0058534C"/>
    <w:rsid w:val="00590707"/>
    <w:rsid w:val="00591152"/>
    <w:rsid w:val="005A1EDE"/>
    <w:rsid w:val="005A31FE"/>
    <w:rsid w:val="005A5B84"/>
    <w:rsid w:val="005B4A34"/>
    <w:rsid w:val="005B7699"/>
    <w:rsid w:val="005C0169"/>
    <w:rsid w:val="005C4776"/>
    <w:rsid w:val="005D0925"/>
    <w:rsid w:val="005D357E"/>
    <w:rsid w:val="005D51F9"/>
    <w:rsid w:val="005D5577"/>
    <w:rsid w:val="005E236F"/>
    <w:rsid w:val="005E2D34"/>
    <w:rsid w:val="005E39A0"/>
    <w:rsid w:val="005E7553"/>
    <w:rsid w:val="005F0557"/>
    <w:rsid w:val="005F6628"/>
    <w:rsid w:val="0060419F"/>
    <w:rsid w:val="00605BCC"/>
    <w:rsid w:val="00607900"/>
    <w:rsid w:val="00607991"/>
    <w:rsid w:val="006105B9"/>
    <w:rsid w:val="00610AA2"/>
    <w:rsid w:val="00621AEF"/>
    <w:rsid w:val="00627D37"/>
    <w:rsid w:val="00632A5E"/>
    <w:rsid w:val="00634B99"/>
    <w:rsid w:val="00644308"/>
    <w:rsid w:val="00652E78"/>
    <w:rsid w:val="00656CFF"/>
    <w:rsid w:val="0065715F"/>
    <w:rsid w:val="00662FE5"/>
    <w:rsid w:val="006650CD"/>
    <w:rsid w:val="0067026D"/>
    <w:rsid w:val="00671EE2"/>
    <w:rsid w:val="00680782"/>
    <w:rsid w:val="00682457"/>
    <w:rsid w:val="00683744"/>
    <w:rsid w:val="0068416C"/>
    <w:rsid w:val="006842A2"/>
    <w:rsid w:val="006854CD"/>
    <w:rsid w:val="0068629E"/>
    <w:rsid w:val="006919D5"/>
    <w:rsid w:val="00693B5A"/>
    <w:rsid w:val="00695DCA"/>
    <w:rsid w:val="00696810"/>
    <w:rsid w:val="00696FE2"/>
    <w:rsid w:val="00697DD7"/>
    <w:rsid w:val="006A0537"/>
    <w:rsid w:val="006A0C0D"/>
    <w:rsid w:val="006A10F0"/>
    <w:rsid w:val="006A2047"/>
    <w:rsid w:val="006A2DEB"/>
    <w:rsid w:val="006B33F9"/>
    <w:rsid w:val="006B3828"/>
    <w:rsid w:val="006B399B"/>
    <w:rsid w:val="006B73E6"/>
    <w:rsid w:val="006C46C1"/>
    <w:rsid w:val="006C4C7F"/>
    <w:rsid w:val="006C5AE8"/>
    <w:rsid w:val="006C79D9"/>
    <w:rsid w:val="006D0B8D"/>
    <w:rsid w:val="006D2232"/>
    <w:rsid w:val="006D2A4B"/>
    <w:rsid w:val="006D6C46"/>
    <w:rsid w:val="006E1C1C"/>
    <w:rsid w:val="006E1FB9"/>
    <w:rsid w:val="006E3D1E"/>
    <w:rsid w:val="006F159B"/>
    <w:rsid w:val="006F1759"/>
    <w:rsid w:val="006F4D82"/>
    <w:rsid w:val="006F587F"/>
    <w:rsid w:val="006F6119"/>
    <w:rsid w:val="00700DA5"/>
    <w:rsid w:val="007014B2"/>
    <w:rsid w:val="00701C05"/>
    <w:rsid w:val="00703E55"/>
    <w:rsid w:val="007054DB"/>
    <w:rsid w:val="007107A5"/>
    <w:rsid w:val="0071627D"/>
    <w:rsid w:val="00722957"/>
    <w:rsid w:val="00723518"/>
    <w:rsid w:val="00726851"/>
    <w:rsid w:val="007308BD"/>
    <w:rsid w:val="00731E3D"/>
    <w:rsid w:val="00732192"/>
    <w:rsid w:val="007345FC"/>
    <w:rsid w:val="00734971"/>
    <w:rsid w:val="00734A86"/>
    <w:rsid w:val="0073511E"/>
    <w:rsid w:val="00735E8C"/>
    <w:rsid w:val="0073617A"/>
    <w:rsid w:val="007406C0"/>
    <w:rsid w:val="00740E3A"/>
    <w:rsid w:val="00740F81"/>
    <w:rsid w:val="00741893"/>
    <w:rsid w:val="00746622"/>
    <w:rsid w:val="00751A88"/>
    <w:rsid w:val="00756736"/>
    <w:rsid w:val="007600A7"/>
    <w:rsid w:val="007606E9"/>
    <w:rsid w:val="0076161C"/>
    <w:rsid w:val="007620F6"/>
    <w:rsid w:val="00763719"/>
    <w:rsid w:val="00764C17"/>
    <w:rsid w:val="00764C21"/>
    <w:rsid w:val="00773F2D"/>
    <w:rsid w:val="00780B97"/>
    <w:rsid w:val="00790AB8"/>
    <w:rsid w:val="00790F73"/>
    <w:rsid w:val="007921F3"/>
    <w:rsid w:val="00792B11"/>
    <w:rsid w:val="00793556"/>
    <w:rsid w:val="0079381B"/>
    <w:rsid w:val="00794B50"/>
    <w:rsid w:val="007A7C84"/>
    <w:rsid w:val="007B0EBA"/>
    <w:rsid w:val="007B70F5"/>
    <w:rsid w:val="007B723E"/>
    <w:rsid w:val="007C1EBD"/>
    <w:rsid w:val="007C2F20"/>
    <w:rsid w:val="007D4A80"/>
    <w:rsid w:val="007D515C"/>
    <w:rsid w:val="007D5DE9"/>
    <w:rsid w:val="007E4631"/>
    <w:rsid w:val="007E6F4E"/>
    <w:rsid w:val="007F14CF"/>
    <w:rsid w:val="007F3C66"/>
    <w:rsid w:val="007F442E"/>
    <w:rsid w:val="007F4E4C"/>
    <w:rsid w:val="0080104D"/>
    <w:rsid w:val="008039B1"/>
    <w:rsid w:val="00806E34"/>
    <w:rsid w:val="00812695"/>
    <w:rsid w:val="00812F41"/>
    <w:rsid w:val="00820E38"/>
    <w:rsid w:val="00820E59"/>
    <w:rsid w:val="008218BA"/>
    <w:rsid w:val="00823CCB"/>
    <w:rsid w:val="00831E11"/>
    <w:rsid w:val="0083726F"/>
    <w:rsid w:val="0084545D"/>
    <w:rsid w:val="00845E63"/>
    <w:rsid w:val="00846815"/>
    <w:rsid w:val="0085720E"/>
    <w:rsid w:val="008608FA"/>
    <w:rsid w:val="00861CED"/>
    <w:rsid w:val="008634E2"/>
    <w:rsid w:val="0086536E"/>
    <w:rsid w:val="0087211E"/>
    <w:rsid w:val="0087263C"/>
    <w:rsid w:val="008730E9"/>
    <w:rsid w:val="00877909"/>
    <w:rsid w:val="008828FB"/>
    <w:rsid w:val="008842CA"/>
    <w:rsid w:val="0088786E"/>
    <w:rsid w:val="00887BC7"/>
    <w:rsid w:val="0089353A"/>
    <w:rsid w:val="00894E19"/>
    <w:rsid w:val="008953C5"/>
    <w:rsid w:val="008A0358"/>
    <w:rsid w:val="008A055B"/>
    <w:rsid w:val="008A15A5"/>
    <w:rsid w:val="008A3715"/>
    <w:rsid w:val="008A492B"/>
    <w:rsid w:val="008A6989"/>
    <w:rsid w:val="008B35FB"/>
    <w:rsid w:val="008B3F7D"/>
    <w:rsid w:val="008B47E9"/>
    <w:rsid w:val="008B51B6"/>
    <w:rsid w:val="008C4A14"/>
    <w:rsid w:val="008C734F"/>
    <w:rsid w:val="008D13AD"/>
    <w:rsid w:val="008D147D"/>
    <w:rsid w:val="008D163C"/>
    <w:rsid w:val="008D19BD"/>
    <w:rsid w:val="008D649D"/>
    <w:rsid w:val="008D6577"/>
    <w:rsid w:val="008E18FA"/>
    <w:rsid w:val="008E229B"/>
    <w:rsid w:val="008E3350"/>
    <w:rsid w:val="008E703A"/>
    <w:rsid w:val="008E7642"/>
    <w:rsid w:val="008F0535"/>
    <w:rsid w:val="008F12D9"/>
    <w:rsid w:val="008F6745"/>
    <w:rsid w:val="008F7F58"/>
    <w:rsid w:val="00903EA0"/>
    <w:rsid w:val="00904609"/>
    <w:rsid w:val="009056EC"/>
    <w:rsid w:val="009065D8"/>
    <w:rsid w:val="0090700A"/>
    <w:rsid w:val="00914879"/>
    <w:rsid w:val="00915E1E"/>
    <w:rsid w:val="00916DB7"/>
    <w:rsid w:val="009221B1"/>
    <w:rsid w:val="00922F03"/>
    <w:rsid w:val="00930834"/>
    <w:rsid w:val="00931344"/>
    <w:rsid w:val="00932837"/>
    <w:rsid w:val="009352A0"/>
    <w:rsid w:val="00936568"/>
    <w:rsid w:val="00937567"/>
    <w:rsid w:val="00942B1D"/>
    <w:rsid w:val="0094427D"/>
    <w:rsid w:val="00950FCF"/>
    <w:rsid w:val="009526ED"/>
    <w:rsid w:val="00953ADE"/>
    <w:rsid w:val="009540A5"/>
    <w:rsid w:val="00954629"/>
    <w:rsid w:val="00966AD2"/>
    <w:rsid w:val="00972FD4"/>
    <w:rsid w:val="0097363E"/>
    <w:rsid w:val="00975848"/>
    <w:rsid w:val="009766F8"/>
    <w:rsid w:val="009772B6"/>
    <w:rsid w:val="0097763E"/>
    <w:rsid w:val="009776F6"/>
    <w:rsid w:val="00977B9D"/>
    <w:rsid w:val="009803D3"/>
    <w:rsid w:val="009808A4"/>
    <w:rsid w:val="00984D23"/>
    <w:rsid w:val="00994B61"/>
    <w:rsid w:val="0099516C"/>
    <w:rsid w:val="009A0769"/>
    <w:rsid w:val="009A3237"/>
    <w:rsid w:val="009A3936"/>
    <w:rsid w:val="009A69B7"/>
    <w:rsid w:val="009B0418"/>
    <w:rsid w:val="009B25C9"/>
    <w:rsid w:val="009B6F75"/>
    <w:rsid w:val="009B79C4"/>
    <w:rsid w:val="009C0E69"/>
    <w:rsid w:val="009C2EDB"/>
    <w:rsid w:val="009C644D"/>
    <w:rsid w:val="009C7C74"/>
    <w:rsid w:val="009D4EB5"/>
    <w:rsid w:val="009D5DEC"/>
    <w:rsid w:val="009D5F4F"/>
    <w:rsid w:val="009E0FB7"/>
    <w:rsid w:val="009E53B7"/>
    <w:rsid w:val="009E6863"/>
    <w:rsid w:val="009E788C"/>
    <w:rsid w:val="009F1E85"/>
    <w:rsid w:val="009F23E5"/>
    <w:rsid w:val="009F57DB"/>
    <w:rsid w:val="009F71D3"/>
    <w:rsid w:val="00A00BF7"/>
    <w:rsid w:val="00A014AA"/>
    <w:rsid w:val="00A02ECE"/>
    <w:rsid w:val="00A07A05"/>
    <w:rsid w:val="00A15397"/>
    <w:rsid w:val="00A1751D"/>
    <w:rsid w:val="00A20AA3"/>
    <w:rsid w:val="00A31B0D"/>
    <w:rsid w:val="00A31B85"/>
    <w:rsid w:val="00A33C3E"/>
    <w:rsid w:val="00A34D48"/>
    <w:rsid w:val="00A36307"/>
    <w:rsid w:val="00A3655C"/>
    <w:rsid w:val="00A43B95"/>
    <w:rsid w:val="00A4538E"/>
    <w:rsid w:val="00A601BD"/>
    <w:rsid w:val="00A603CF"/>
    <w:rsid w:val="00A603F3"/>
    <w:rsid w:val="00A6238C"/>
    <w:rsid w:val="00A6515F"/>
    <w:rsid w:val="00A663A4"/>
    <w:rsid w:val="00A6657B"/>
    <w:rsid w:val="00A66EEC"/>
    <w:rsid w:val="00A741D5"/>
    <w:rsid w:val="00A7471C"/>
    <w:rsid w:val="00A7574A"/>
    <w:rsid w:val="00A75D11"/>
    <w:rsid w:val="00A77B44"/>
    <w:rsid w:val="00A77FAA"/>
    <w:rsid w:val="00A82F20"/>
    <w:rsid w:val="00A84272"/>
    <w:rsid w:val="00A85E94"/>
    <w:rsid w:val="00A904BD"/>
    <w:rsid w:val="00A92B82"/>
    <w:rsid w:val="00A96851"/>
    <w:rsid w:val="00A96DB3"/>
    <w:rsid w:val="00AA518A"/>
    <w:rsid w:val="00AA535B"/>
    <w:rsid w:val="00AB1F45"/>
    <w:rsid w:val="00AB20E2"/>
    <w:rsid w:val="00AC07D4"/>
    <w:rsid w:val="00AC3822"/>
    <w:rsid w:val="00AC4C64"/>
    <w:rsid w:val="00AD1D35"/>
    <w:rsid w:val="00AD64B7"/>
    <w:rsid w:val="00AD73D8"/>
    <w:rsid w:val="00AE0342"/>
    <w:rsid w:val="00AE2569"/>
    <w:rsid w:val="00AE44F2"/>
    <w:rsid w:val="00AF039B"/>
    <w:rsid w:val="00AF0636"/>
    <w:rsid w:val="00AF09C4"/>
    <w:rsid w:val="00AF4661"/>
    <w:rsid w:val="00AF47E1"/>
    <w:rsid w:val="00AF483D"/>
    <w:rsid w:val="00B019D9"/>
    <w:rsid w:val="00B02555"/>
    <w:rsid w:val="00B1086B"/>
    <w:rsid w:val="00B11107"/>
    <w:rsid w:val="00B12887"/>
    <w:rsid w:val="00B128CF"/>
    <w:rsid w:val="00B13AD3"/>
    <w:rsid w:val="00B17C4E"/>
    <w:rsid w:val="00B17E54"/>
    <w:rsid w:val="00B21F3C"/>
    <w:rsid w:val="00B22282"/>
    <w:rsid w:val="00B222D2"/>
    <w:rsid w:val="00B26F8C"/>
    <w:rsid w:val="00B27E46"/>
    <w:rsid w:val="00B27FC2"/>
    <w:rsid w:val="00B336BB"/>
    <w:rsid w:val="00B420AD"/>
    <w:rsid w:val="00B44BB4"/>
    <w:rsid w:val="00B461E5"/>
    <w:rsid w:val="00B469B0"/>
    <w:rsid w:val="00B50EC8"/>
    <w:rsid w:val="00B52A2D"/>
    <w:rsid w:val="00B54F3A"/>
    <w:rsid w:val="00B561EE"/>
    <w:rsid w:val="00B620D2"/>
    <w:rsid w:val="00B621F8"/>
    <w:rsid w:val="00B673C5"/>
    <w:rsid w:val="00B67ED3"/>
    <w:rsid w:val="00B72297"/>
    <w:rsid w:val="00B7231F"/>
    <w:rsid w:val="00B7264A"/>
    <w:rsid w:val="00B73AA9"/>
    <w:rsid w:val="00B76073"/>
    <w:rsid w:val="00B77AAD"/>
    <w:rsid w:val="00B84620"/>
    <w:rsid w:val="00B8683B"/>
    <w:rsid w:val="00B90757"/>
    <w:rsid w:val="00B908C1"/>
    <w:rsid w:val="00B939B0"/>
    <w:rsid w:val="00B949AD"/>
    <w:rsid w:val="00B9798D"/>
    <w:rsid w:val="00BA0EA9"/>
    <w:rsid w:val="00BA1CAC"/>
    <w:rsid w:val="00BA42C2"/>
    <w:rsid w:val="00BB0137"/>
    <w:rsid w:val="00BB35AF"/>
    <w:rsid w:val="00BB71E3"/>
    <w:rsid w:val="00BB7769"/>
    <w:rsid w:val="00BC2264"/>
    <w:rsid w:val="00BC3641"/>
    <w:rsid w:val="00BC3DF7"/>
    <w:rsid w:val="00BC47FC"/>
    <w:rsid w:val="00BD09C7"/>
    <w:rsid w:val="00BD3E52"/>
    <w:rsid w:val="00BE06DE"/>
    <w:rsid w:val="00BE0CD6"/>
    <w:rsid w:val="00BE4B70"/>
    <w:rsid w:val="00BE4C3F"/>
    <w:rsid w:val="00BE63AB"/>
    <w:rsid w:val="00BF0EFB"/>
    <w:rsid w:val="00BF2F62"/>
    <w:rsid w:val="00BF5C5B"/>
    <w:rsid w:val="00BF62EE"/>
    <w:rsid w:val="00BF65FD"/>
    <w:rsid w:val="00C01FD2"/>
    <w:rsid w:val="00C03230"/>
    <w:rsid w:val="00C03B63"/>
    <w:rsid w:val="00C122FD"/>
    <w:rsid w:val="00C13A09"/>
    <w:rsid w:val="00C15953"/>
    <w:rsid w:val="00C17FE5"/>
    <w:rsid w:val="00C20327"/>
    <w:rsid w:val="00C2070B"/>
    <w:rsid w:val="00C225B7"/>
    <w:rsid w:val="00C2637E"/>
    <w:rsid w:val="00C26CE8"/>
    <w:rsid w:val="00C27F68"/>
    <w:rsid w:val="00C3056C"/>
    <w:rsid w:val="00C31E39"/>
    <w:rsid w:val="00C32D68"/>
    <w:rsid w:val="00C33C06"/>
    <w:rsid w:val="00C41842"/>
    <w:rsid w:val="00C50F4E"/>
    <w:rsid w:val="00C56D1C"/>
    <w:rsid w:val="00C61EE6"/>
    <w:rsid w:val="00C621FC"/>
    <w:rsid w:val="00C62473"/>
    <w:rsid w:val="00C63254"/>
    <w:rsid w:val="00C63857"/>
    <w:rsid w:val="00C6427B"/>
    <w:rsid w:val="00C650B6"/>
    <w:rsid w:val="00C66720"/>
    <w:rsid w:val="00C70BFC"/>
    <w:rsid w:val="00C71122"/>
    <w:rsid w:val="00C7475A"/>
    <w:rsid w:val="00C75C2F"/>
    <w:rsid w:val="00C80FAE"/>
    <w:rsid w:val="00C8199D"/>
    <w:rsid w:val="00C84883"/>
    <w:rsid w:val="00C90E7B"/>
    <w:rsid w:val="00C92EDF"/>
    <w:rsid w:val="00C940E2"/>
    <w:rsid w:val="00CA0221"/>
    <w:rsid w:val="00CA45D6"/>
    <w:rsid w:val="00CA61E4"/>
    <w:rsid w:val="00CA6A89"/>
    <w:rsid w:val="00CB0B3E"/>
    <w:rsid w:val="00CB14B4"/>
    <w:rsid w:val="00CB1CFE"/>
    <w:rsid w:val="00CB1F41"/>
    <w:rsid w:val="00CB311B"/>
    <w:rsid w:val="00CB674B"/>
    <w:rsid w:val="00CB707B"/>
    <w:rsid w:val="00CB7BD7"/>
    <w:rsid w:val="00CC050C"/>
    <w:rsid w:val="00CC0E31"/>
    <w:rsid w:val="00CC12C3"/>
    <w:rsid w:val="00CC5BBE"/>
    <w:rsid w:val="00CC6592"/>
    <w:rsid w:val="00CD0772"/>
    <w:rsid w:val="00CD2BFB"/>
    <w:rsid w:val="00CD62F1"/>
    <w:rsid w:val="00CE07D9"/>
    <w:rsid w:val="00CF1067"/>
    <w:rsid w:val="00D03593"/>
    <w:rsid w:val="00D04D98"/>
    <w:rsid w:val="00D21A55"/>
    <w:rsid w:val="00D267FE"/>
    <w:rsid w:val="00D40064"/>
    <w:rsid w:val="00D40BAE"/>
    <w:rsid w:val="00D455DF"/>
    <w:rsid w:val="00D45F3C"/>
    <w:rsid w:val="00D51EDB"/>
    <w:rsid w:val="00D52A46"/>
    <w:rsid w:val="00D61534"/>
    <w:rsid w:val="00D63918"/>
    <w:rsid w:val="00D63F7C"/>
    <w:rsid w:val="00D644AA"/>
    <w:rsid w:val="00D67AAA"/>
    <w:rsid w:val="00D701BA"/>
    <w:rsid w:val="00D70F50"/>
    <w:rsid w:val="00D753F9"/>
    <w:rsid w:val="00D7794B"/>
    <w:rsid w:val="00D82D58"/>
    <w:rsid w:val="00D850F7"/>
    <w:rsid w:val="00D85A4E"/>
    <w:rsid w:val="00DA5283"/>
    <w:rsid w:val="00DA6490"/>
    <w:rsid w:val="00DA65A5"/>
    <w:rsid w:val="00DB1E97"/>
    <w:rsid w:val="00DB5A6C"/>
    <w:rsid w:val="00DC19A5"/>
    <w:rsid w:val="00DC3253"/>
    <w:rsid w:val="00DC6A5D"/>
    <w:rsid w:val="00DC6D9C"/>
    <w:rsid w:val="00DD03A9"/>
    <w:rsid w:val="00DD060A"/>
    <w:rsid w:val="00DD160D"/>
    <w:rsid w:val="00DD1FBD"/>
    <w:rsid w:val="00DD7B93"/>
    <w:rsid w:val="00DD7C26"/>
    <w:rsid w:val="00DE1188"/>
    <w:rsid w:val="00DE1475"/>
    <w:rsid w:val="00DE4EEF"/>
    <w:rsid w:val="00DE611B"/>
    <w:rsid w:val="00DF000B"/>
    <w:rsid w:val="00DF7C4A"/>
    <w:rsid w:val="00E02F04"/>
    <w:rsid w:val="00E04142"/>
    <w:rsid w:val="00E04EE4"/>
    <w:rsid w:val="00E05F2B"/>
    <w:rsid w:val="00E13FAF"/>
    <w:rsid w:val="00E2235C"/>
    <w:rsid w:val="00E22D50"/>
    <w:rsid w:val="00E237EB"/>
    <w:rsid w:val="00E23BEE"/>
    <w:rsid w:val="00E2707F"/>
    <w:rsid w:val="00E31052"/>
    <w:rsid w:val="00E312B0"/>
    <w:rsid w:val="00E32D2C"/>
    <w:rsid w:val="00E33EDD"/>
    <w:rsid w:val="00E34A9C"/>
    <w:rsid w:val="00E37161"/>
    <w:rsid w:val="00E500FB"/>
    <w:rsid w:val="00E505F1"/>
    <w:rsid w:val="00E53D48"/>
    <w:rsid w:val="00E54012"/>
    <w:rsid w:val="00E561C7"/>
    <w:rsid w:val="00E56D95"/>
    <w:rsid w:val="00E6056D"/>
    <w:rsid w:val="00E605D6"/>
    <w:rsid w:val="00E61296"/>
    <w:rsid w:val="00E6550A"/>
    <w:rsid w:val="00E65DF7"/>
    <w:rsid w:val="00E66629"/>
    <w:rsid w:val="00E705CF"/>
    <w:rsid w:val="00E72F8C"/>
    <w:rsid w:val="00E77156"/>
    <w:rsid w:val="00E82F7E"/>
    <w:rsid w:val="00E838F3"/>
    <w:rsid w:val="00E846F8"/>
    <w:rsid w:val="00E878B6"/>
    <w:rsid w:val="00E901D4"/>
    <w:rsid w:val="00E90BF1"/>
    <w:rsid w:val="00E93863"/>
    <w:rsid w:val="00E97081"/>
    <w:rsid w:val="00EA0A35"/>
    <w:rsid w:val="00EA1B79"/>
    <w:rsid w:val="00EA2F57"/>
    <w:rsid w:val="00EA334E"/>
    <w:rsid w:val="00EA4B7F"/>
    <w:rsid w:val="00EA4EED"/>
    <w:rsid w:val="00EA5B0A"/>
    <w:rsid w:val="00EB0EF8"/>
    <w:rsid w:val="00EB505C"/>
    <w:rsid w:val="00EB580B"/>
    <w:rsid w:val="00EC35BD"/>
    <w:rsid w:val="00EC44D8"/>
    <w:rsid w:val="00ED2328"/>
    <w:rsid w:val="00ED29B3"/>
    <w:rsid w:val="00ED3053"/>
    <w:rsid w:val="00ED3E6B"/>
    <w:rsid w:val="00ED3F78"/>
    <w:rsid w:val="00EE0BB3"/>
    <w:rsid w:val="00EE126D"/>
    <w:rsid w:val="00EE3B1F"/>
    <w:rsid w:val="00EE3BFC"/>
    <w:rsid w:val="00EE3E6C"/>
    <w:rsid w:val="00EE4DA1"/>
    <w:rsid w:val="00EF215C"/>
    <w:rsid w:val="00EF23A1"/>
    <w:rsid w:val="00EF44EB"/>
    <w:rsid w:val="00EF64CC"/>
    <w:rsid w:val="00F00444"/>
    <w:rsid w:val="00F008CF"/>
    <w:rsid w:val="00F02D07"/>
    <w:rsid w:val="00F04A15"/>
    <w:rsid w:val="00F10AAF"/>
    <w:rsid w:val="00F10CA0"/>
    <w:rsid w:val="00F12B5F"/>
    <w:rsid w:val="00F13794"/>
    <w:rsid w:val="00F13C46"/>
    <w:rsid w:val="00F154D9"/>
    <w:rsid w:val="00F161F3"/>
    <w:rsid w:val="00F164DF"/>
    <w:rsid w:val="00F25641"/>
    <w:rsid w:val="00F2738B"/>
    <w:rsid w:val="00F3011D"/>
    <w:rsid w:val="00F31DB2"/>
    <w:rsid w:val="00F36FDF"/>
    <w:rsid w:val="00F4059C"/>
    <w:rsid w:val="00F43366"/>
    <w:rsid w:val="00F50CFF"/>
    <w:rsid w:val="00F5255D"/>
    <w:rsid w:val="00F5514D"/>
    <w:rsid w:val="00F61E8A"/>
    <w:rsid w:val="00F62569"/>
    <w:rsid w:val="00F673D9"/>
    <w:rsid w:val="00F77CAD"/>
    <w:rsid w:val="00F81443"/>
    <w:rsid w:val="00F854EF"/>
    <w:rsid w:val="00F86B96"/>
    <w:rsid w:val="00F8745A"/>
    <w:rsid w:val="00F9017B"/>
    <w:rsid w:val="00F94284"/>
    <w:rsid w:val="00F94A92"/>
    <w:rsid w:val="00FA18B7"/>
    <w:rsid w:val="00FA7C5B"/>
    <w:rsid w:val="00FC6B57"/>
    <w:rsid w:val="00FD074F"/>
    <w:rsid w:val="00FD0E6B"/>
    <w:rsid w:val="00FD3F18"/>
    <w:rsid w:val="00FD7199"/>
    <w:rsid w:val="00FE0299"/>
    <w:rsid w:val="00FE27B1"/>
    <w:rsid w:val="00FE7640"/>
    <w:rsid w:val="00FF4937"/>
    <w:rsid w:val="00FF548F"/>
    <w:rsid w:val="00FF5669"/>
    <w:rsid w:val="00FF7BF1"/>
    <w:rsid w:val="00FF7C5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5CCDDB"/>
  <w15:docId w15:val="{E0E9DE56-49A6-4C20-86DD-D017099F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6073"/>
    <w:pPr>
      <w:spacing w:before="120" w:after="120" w:line="259" w:lineRule="auto"/>
      <w:jc w:val="both"/>
    </w:pPr>
    <w:rPr>
      <w:rFonts w:ascii="Arial" w:hAnsi="Arial"/>
      <w:szCs w:val="22"/>
      <w:lang w:eastAsia="en-US"/>
    </w:rPr>
  </w:style>
  <w:style w:type="paragraph" w:styleId="Heading1">
    <w:name w:val="heading 1"/>
    <w:basedOn w:val="Normal"/>
    <w:next w:val="Normal"/>
    <w:link w:val="Heading1Char"/>
    <w:uiPriority w:val="99"/>
    <w:qFormat/>
    <w:rsid w:val="009772B6"/>
    <w:pPr>
      <w:keepNext/>
      <w:numPr>
        <w:numId w:val="6"/>
      </w:numPr>
      <w:spacing w:before="360" w:after="240" w:line="240" w:lineRule="auto"/>
      <w:ind w:left="432"/>
      <w:outlineLvl w:val="0"/>
    </w:pPr>
    <w:rPr>
      <w:rFonts w:eastAsia="Meiryo" w:cs="Arial"/>
      <w:b/>
      <w:szCs w:val="20"/>
    </w:rPr>
  </w:style>
  <w:style w:type="paragraph" w:styleId="Heading2">
    <w:name w:val="heading 2"/>
    <w:basedOn w:val="Normal"/>
    <w:next w:val="Normal"/>
    <w:link w:val="Heading2Char"/>
    <w:uiPriority w:val="99"/>
    <w:qFormat/>
    <w:rsid w:val="009772B6"/>
    <w:pPr>
      <w:keepNext/>
      <w:numPr>
        <w:ilvl w:val="1"/>
        <w:numId w:val="6"/>
      </w:numPr>
      <w:tabs>
        <w:tab w:val="left" w:pos="709"/>
      </w:tabs>
      <w:spacing w:before="240" w:line="240" w:lineRule="auto"/>
      <w:ind w:left="576"/>
      <w:outlineLvl w:val="1"/>
    </w:pPr>
    <w:rPr>
      <w:rFonts w:eastAsia="Meiryo" w:cs="Arial"/>
      <w:b/>
      <w:szCs w:val="20"/>
    </w:rPr>
  </w:style>
  <w:style w:type="paragraph" w:styleId="Heading3">
    <w:name w:val="heading 3"/>
    <w:basedOn w:val="Normal"/>
    <w:next w:val="Normal"/>
    <w:link w:val="Heading3Char"/>
    <w:uiPriority w:val="99"/>
    <w:qFormat/>
    <w:rsid w:val="007345FC"/>
    <w:pPr>
      <w:keepNext/>
      <w:keepLines/>
      <w:numPr>
        <w:ilvl w:val="2"/>
        <w:numId w:val="1"/>
      </w:numPr>
      <w:tabs>
        <w:tab w:val="clear" w:pos="643"/>
      </w:tabs>
      <w:spacing w:before="200" w:after="0"/>
      <w:ind w:left="720" w:hanging="720"/>
      <w:outlineLvl w:val="2"/>
    </w:pPr>
    <w:rPr>
      <w:rFonts w:ascii="Century Gothic" w:eastAsia="Meiryo" w:hAnsi="Century Gothic"/>
      <w:bCs/>
      <w:color w:val="B01513"/>
    </w:rPr>
  </w:style>
  <w:style w:type="paragraph" w:styleId="Heading4">
    <w:name w:val="heading 4"/>
    <w:basedOn w:val="Normal"/>
    <w:next w:val="Normal"/>
    <w:link w:val="Heading4Char"/>
    <w:uiPriority w:val="99"/>
    <w:qFormat/>
    <w:rsid w:val="00914879"/>
    <w:pPr>
      <w:keepNext/>
      <w:keepLines/>
      <w:numPr>
        <w:ilvl w:val="3"/>
        <w:numId w:val="1"/>
      </w:numPr>
      <w:tabs>
        <w:tab w:val="clear" w:pos="643"/>
      </w:tabs>
      <w:spacing w:before="200" w:after="0"/>
      <w:ind w:left="864" w:hanging="864"/>
      <w:outlineLvl w:val="3"/>
    </w:pPr>
    <w:rPr>
      <w:rFonts w:ascii="Century Gothic" w:eastAsia="Meiryo" w:hAnsi="Century Gothic"/>
      <w:b/>
      <w:bCs/>
      <w:i/>
      <w:iCs/>
      <w:color w:val="B01513"/>
    </w:rPr>
  </w:style>
  <w:style w:type="paragraph" w:styleId="Heading5">
    <w:name w:val="heading 5"/>
    <w:basedOn w:val="Normal"/>
    <w:next w:val="Normal"/>
    <w:link w:val="Heading5Char"/>
    <w:uiPriority w:val="99"/>
    <w:qFormat/>
    <w:rsid w:val="00914879"/>
    <w:pPr>
      <w:keepNext/>
      <w:keepLines/>
      <w:numPr>
        <w:ilvl w:val="4"/>
        <w:numId w:val="1"/>
      </w:numPr>
      <w:tabs>
        <w:tab w:val="clear" w:pos="643"/>
      </w:tabs>
      <w:spacing w:before="200" w:after="0"/>
      <w:ind w:left="1008" w:hanging="1008"/>
      <w:outlineLvl w:val="4"/>
    </w:pPr>
    <w:rPr>
      <w:rFonts w:ascii="Century Gothic" w:eastAsia="Meiryo" w:hAnsi="Century Gothic"/>
      <w:color w:val="570A09"/>
    </w:rPr>
  </w:style>
  <w:style w:type="paragraph" w:styleId="Heading6">
    <w:name w:val="heading 6"/>
    <w:basedOn w:val="Normal"/>
    <w:next w:val="Normal"/>
    <w:link w:val="Heading6Char"/>
    <w:uiPriority w:val="99"/>
    <w:qFormat/>
    <w:rsid w:val="00914879"/>
    <w:pPr>
      <w:keepNext/>
      <w:keepLines/>
      <w:numPr>
        <w:ilvl w:val="5"/>
        <w:numId w:val="1"/>
      </w:numPr>
      <w:tabs>
        <w:tab w:val="clear" w:pos="643"/>
      </w:tabs>
      <w:spacing w:before="200" w:after="0"/>
      <w:ind w:left="1152" w:hanging="1152"/>
      <w:outlineLvl w:val="5"/>
    </w:pPr>
    <w:rPr>
      <w:rFonts w:ascii="Century Gothic" w:eastAsia="Meiryo" w:hAnsi="Century Gothic"/>
      <w:i/>
      <w:iCs/>
      <w:color w:val="570A09"/>
    </w:rPr>
  </w:style>
  <w:style w:type="paragraph" w:styleId="Heading7">
    <w:name w:val="heading 7"/>
    <w:basedOn w:val="Normal"/>
    <w:next w:val="Normal"/>
    <w:link w:val="Heading7Char"/>
    <w:uiPriority w:val="99"/>
    <w:qFormat/>
    <w:rsid w:val="00914879"/>
    <w:pPr>
      <w:keepNext/>
      <w:keepLines/>
      <w:numPr>
        <w:ilvl w:val="6"/>
        <w:numId w:val="1"/>
      </w:numPr>
      <w:tabs>
        <w:tab w:val="clear" w:pos="643"/>
      </w:tabs>
      <w:spacing w:before="200" w:after="0"/>
      <w:ind w:left="1296" w:hanging="1296"/>
      <w:outlineLvl w:val="6"/>
    </w:pPr>
    <w:rPr>
      <w:rFonts w:ascii="Century Gothic" w:eastAsia="Meiryo" w:hAnsi="Century Gothic"/>
      <w:i/>
      <w:iCs/>
      <w:color w:val="404040"/>
    </w:rPr>
  </w:style>
  <w:style w:type="paragraph" w:styleId="Heading8">
    <w:name w:val="heading 8"/>
    <w:basedOn w:val="Normal"/>
    <w:next w:val="Normal"/>
    <w:link w:val="Heading8Char"/>
    <w:uiPriority w:val="99"/>
    <w:qFormat/>
    <w:rsid w:val="00914879"/>
    <w:pPr>
      <w:keepNext/>
      <w:keepLines/>
      <w:numPr>
        <w:ilvl w:val="7"/>
        <w:numId w:val="1"/>
      </w:numPr>
      <w:tabs>
        <w:tab w:val="clear" w:pos="643"/>
      </w:tabs>
      <w:spacing w:before="200" w:after="0"/>
      <w:ind w:left="1440" w:hanging="1440"/>
      <w:outlineLvl w:val="7"/>
    </w:pPr>
    <w:rPr>
      <w:rFonts w:ascii="Century Gothic" w:eastAsia="Meiryo" w:hAnsi="Century Gothic"/>
      <w:color w:val="404040"/>
      <w:szCs w:val="20"/>
    </w:rPr>
  </w:style>
  <w:style w:type="paragraph" w:styleId="Heading9">
    <w:name w:val="heading 9"/>
    <w:basedOn w:val="Normal"/>
    <w:next w:val="Normal"/>
    <w:link w:val="Heading9Char"/>
    <w:uiPriority w:val="99"/>
    <w:qFormat/>
    <w:rsid w:val="00914879"/>
    <w:pPr>
      <w:keepNext/>
      <w:keepLines/>
      <w:numPr>
        <w:ilvl w:val="8"/>
        <w:numId w:val="1"/>
      </w:numPr>
      <w:tabs>
        <w:tab w:val="clear" w:pos="643"/>
      </w:tabs>
      <w:spacing w:before="200" w:after="0"/>
      <w:ind w:left="1584" w:hanging="1584"/>
      <w:outlineLvl w:val="8"/>
    </w:pPr>
    <w:rPr>
      <w:rFonts w:ascii="Century Gothic" w:eastAsia="Meiryo" w:hAnsi="Century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772B6"/>
    <w:rPr>
      <w:rFonts w:ascii="Arial" w:eastAsia="Meiryo" w:hAnsi="Arial" w:cs="Arial"/>
      <w:b/>
      <w:lang w:eastAsia="en-US"/>
    </w:rPr>
  </w:style>
  <w:style w:type="character" w:customStyle="1" w:styleId="Heading2Char">
    <w:name w:val="Heading 2 Char"/>
    <w:link w:val="Heading2"/>
    <w:uiPriority w:val="99"/>
    <w:locked/>
    <w:rsid w:val="009772B6"/>
    <w:rPr>
      <w:rFonts w:ascii="Arial" w:eastAsia="Meiryo" w:hAnsi="Arial" w:cs="Arial"/>
      <w:b/>
      <w:lang w:eastAsia="en-US"/>
    </w:rPr>
  </w:style>
  <w:style w:type="character" w:customStyle="1" w:styleId="Heading3Char">
    <w:name w:val="Heading 3 Char"/>
    <w:link w:val="Heading3"/>
    <w:uiPriority w:val="99"/>
    <w:locked/>
    <w:rsid w:val="007345FC"/>
    <w:rPr>
      <w:rFonts w:eastAsia="Meiryo"/>
      <w:bCs/>
      <w:color w:val="B01513"/>
      <w:szCs w:val="22"/>
      <w:lang w:eastAsia="en-US"/>
    </w:rPr>
  </w:style>
  <w:style w:type="character" w:customStyle="1" w:styleId="Heading4Char">
    <w:name w:val="Heading 4 Char"/>
    <w:link w:val="Heading4"/>
    <w:uiPriority w:val="99"/>
    <w:locked/>
    <w:rsid w:val="00914879"/>
    <w:rPr>
      <w:rFonts w:eastAsia="Meiryo"/>
      <w:b/>
      <w:bCs/>
      <w:i/>
      <w:iCs/>
      <w:color w:val="B01513"/>
      <w:szCs w:val="22"/>
      <w:lang w:eastAsia="en-US"/>
    </w:rPr>
  </w:style>
  <w:style w:type="character" w:customStyle="1" w:styleId="Heading5Char">
    <w:name w:val="Heading 5 Char"/>
    <w:link w:val="Heading5"/>
    <w:uiPriority w:val="99"/>
    <w:locked/>
    <w:rsid w:val="00914879"/>
    <w:rPr>
      <w:rFonts w:eastAsia="Meiryo"/>
      <w:color w:val="570A09"/>
      <w:szCs w:val="22"/>
      <w:lang w:eastAsia="en-US"/>
    </w:rPr>
  </w:style>
  <w:style w:type="character" w:customStyle="1" w:styleId="Heading6Char">
    <w:name w:val="Heading 6 Char"/>
    <w:link w:val="Heading6"/>
    <w:uiPriority w:val="99"/>
    <w:locked/>
    <w:rsid w:val="00914879"/>
    <w:rPr>
      <w:rFonts w:eastAsia="Meiryo"/>
      <w:i/>
      <w:iCs/>
      <w:color w:val="570A09"/>
      <w:szCs w:val="22"/>
      <w:lang w:eastAsia="en-US"/>
    </w:rPr>
  </w:style>
  <w:style w:type="character" w:customStyle="1" w:styleId="Heading7Char">
    <w:name w:val="Heading 7 Char"/>
    <w:link w:val="Heading7"/>
    <w:uiPriority w:val="99"/>
    <w:locked/>
    <w:rsid w:val="00914879"/>
    <w:rPr>
      <w:rFonts w:eastAsia="Meiryo"/>
      <w:i/>
      <w:iCs/>
      <w:color w:val="404040"/>
      <w:szCs w:val="22"/>
      <w:lang w:eastAsia="en-US"/>
    </w:rPr>
  </w:style>
  <w:style w:type="character" w:customStyle="1" w:styleId="Heading8Char">
    <w:name w:val="Heading 8 Char"/>
    <w:link w:val="Heading8"/>
    <w:uiPriority w:val="99"/>
    <w:locked/>
    <w:rsid w:val="00914879"/>
    <w:rPr>
      <w:rFonts w:eastAsia="Meiryo"/>
      <w:color w:val="404040"/>
      <w:lang w:eastAsia="en-US"/>
    </w:rPr>
  </w:style>
  <w:style w:type="character" w:customStyle="1" w:styleId="Heading9Char">
    <w:name w:val="Heading 9 Char"/>
    <w:link w:val="Heading9"/>
    <w:uiPriority w:val="99"/>
    <w:locked/>
    <w:rsid w:val="00914879"/>
    <w:rPr>
      <w:rFonts w:eastAsia="Meiryo"/>
      <w:i/>
      <w:iCs/>
      <w:color w:val="404040"/>
      <w:lang w:eastAsia="en-US"/>
    </w:rPr>
  </w:style>
  <w:style w:type="paragraph" w:styleId="Title">
    <w:name w:val="Title"/>
    <w:basedOn w:val="Normal"/>
    <w:next w:val="Normal"/>
    <w:link w:val="TitleChar"/>
    <w:uiPriority w:val="99"/>
    <w:qFormat/>
    <w:rsid w:val="009772B6"/>
    <w:pPr>
      <w:spacing w:before="720" w:after="0" w:line="240" w:lineRule="auto"/>
      <w:contextualSpacing/>
    </w:pPr>
    <w:rPr>
      <w:rFonts w:eastAsia="Meiryo"/>
      <w:b/>
      <w:spacing w:val="-10"/>
      <w:kern w:val="28"/>
      <w:sz w:val="28"/>
      <w:szCs w:val="56"/>
    </w:rPr>
  </w:style>
  <w:style w:type="character" w:customStyle="1" w:styleId="TitleChar">
    <w:name w:val="Title Char"/>
    <w:link w:val="Title"/>
    <w:uiPriority w:val="99"/>
    <w:locked/>
    <w:rsid w:val="009772B6"/>
    <w:rPr>
      <w:rFonts w:ascii="Arial" w:eastAsia="Meiryo" w:hAnsi="Arial"/>
      <w:b/>
      <w:spacing w:val="-10"/>
      <w:kern w:val="28"/>
      <w:sz w:val="28"/>
      <w:szCs w:val="56"/>
      <w:lang w:eastAsia="en-US"/>
    </w:rPr>
  </w:style>
  <w:style w:type="paragraph" w:styleId="Subtitle">
    <w:name w:val="Subtitle"/>
    <w:basedOn w:val="Normal"/>
    <w:next w:val="Normal"/>
    <w:link w:val="SubtitleChar"/>
    <w:uiPriority w:val="99"/>
    <w:qFormat/>
    <w:rsid w:val="00A601BD"/>
    <w:pPr>
      <w:numPr>
        <w:ilvl w:val="1"/>
      </w:numPr>
    </w:pPr>
    <w:rPr>
      <w:rFonts w:eastAsia="Meiryo"/>
      <w:color w:val="5A5A5A"/>
      <w:spacing w:val="15"/>
    </w:rPr>
  </w:style>
  <w:style w:type="character" w:customStyle="1" w:styleId="SubtitleChar">
    <w:name w:val="Subtitle Char"/>
    <w:link w:val="Subtitle"/>
    <w:uiPriority w:val="99"/>
    <w:locked/>
    <w:rsid w:val="00A601BD"/>
    <w:rPr>
      <w:rFonts w:eastAsia="Meiryo" w:cs="Times New Roman"/>
      <w:color w:val="5A5A5A"/>
      <w:spacing w:val="15"/>
    </w:rPr>
  </w:style>
  <w:style w:type="paragraph" w:styleId="NormalWeb">
    <w:name w:val="Normal (Web)"/>
    <w:basedOn w:val="Normal"/>
    <w:uiPriority w:val="99"/>
    <w:semiHidden/>
    <w:rsid w:val="005719A0"/>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apple-converted-space">
    <w:name w:val="apple-converted-space"/>
    <w:uiPriority w:val="99"/>
    <w:rsid w:val="005719A0"/>
    <w:rPr>
      <w:rFonts w:cs="Times New Roman"/>
    </w:rPr>
  </w:style>
  <w:style w:type="character" w:styleId="Hyperlink">
    <w:name w:val="Hyperlink"/>
    <w:uiPriority w:val="99"/>
    <w:rsid w:val="005719A0"/>
    <w:rPr>
      <w:rFonts w:cs="Times New Roman"/>
      <w:color w:val="0000FF"/>
      <w:u w:val="single"/>
    </w:rPr>
  </w:style>
  <w:style w:type="paragraph" w:styleId="Header">
    <w:name w:val="header"/>
    <w:basedOn w:val="Normal"/>
    <w:link w:val="HeaderChar"/>
    <w:uiPriority w:val="99"/>
    <w:rsid w:val="002276C2"/>
    <w:pPr>
      <w:tabs>
        <w:tab w:val="center" w:pos="4680"/>
        <w:tab w:val="right" w:pos="9360"/>
      </w:tabs>
      <w:spacing w:after="0" w:line="240" w:lineRule="auto"/>
    </w:pPr>
  </w:style>
  <w:style w:type="character" w:customStyle="1" w:styleId="HeaderChar">
    <w:name w:val="Header Char"/>
    <w:link w:val="Header"/>
    <w:uiPriority w:val="99"/>
    <w:locked/>
    <w:rsid w:val="002276C2"/>
    <w:rPr>
      <w:rFonts w:cs="Times New Roman"/>
    </w:rPr>
  </w:style>
  <w:style w:type="paragraph" w:styleId="Footer">
    <w:name w:val="footer"/>
    <w:basedOn w:val="Normal"/>
    <w:link w:val="FooterChar"/>
    <w:uiPriority w:val="99"/>
    <w:rsid w:val="002276C2"/>
    <w:pPr>
      <w:tabs>
        <w:tab w:val="center" w:pos="4680"/>
        <w:tab w:val="right" w:pos="9360"/>
      </w:tabs>
      <w:spacing w:after="0" w:line="240" w:lineRule="auto"/>
    </w:pPr>
  </w:style>
  <w:style w:type="character" w:customStyle="1" w:styleId="FooterChar">
    <w:name w:val="Footer Char"/>
    <w:link w:val="Footer"/>
    <w:uiPriority w:val="99"/>
    <w:locked/>
    <w:rsid w:val="002276C2"/>
    <w:rPr>
      <w:rFonts w:cs="Times New Roman"/>
    </w:rPr>
  </w:style>
  <w:style w:type="character" w:styleId="SubtleEmphasis">
    <w:name w:val="Subtle Emphasis"/>
    <w:uiPriority w:val="99"/>
    <w:qFormat/>
    <w:rsid w:val="008D19BD"/>
    <w:rPr>
      <w:rFonts w:cs="Times New Roman"/>
      <w:i/>
      <w:iCs/>
      <w:color w:val="404040"/>
    </w:rPr>
  </w:style>
  <w:style w:type="paragraph" w:styleId="EndnoteText">
    <w:name w:val="endnote text"/>
    <w:basedOn w:val="Normal"/>
    <w:link w:val="EndnoteTextChar"/>
    <w:uiPriority w:val="99"/>
    <w:semiHidden/>
    <w:rsid w:val="00F5255D"/>
    <w:pPr>
      <w:spacing w:after="0" w:line="240" w:lineRule="auto"/>
    </w:pPr>
    <w:rPr>
      <w:szCs w:val="20"/>
    </w:rPr>
  </w:style>
  <w:style w:type="character" w:customStyle="1" w:styleId="EndnoteTextChar">
    <w:name w:val="Endnote Text Char"/>
    <w:link w:val="EndnoteText"/>
    <w:uiPriority w:val="99"/>
    <w:semiHidden/>
    <w:locked/>
    <w:rsid w:val="00F5255D"/>
    <w:rPr>
      <w:rFonts w:cs="Times New Roman"/>
      <w:sz w:val="20"/>
      <w:szCs w:val="20"/>
    </w:rPr>
  </w:style>
  <w:style w:type="character" w:styleId="EndnoteReference">
    <w:name w:val="endnote reference"/>
    <w:uiPriority w:val="99"/>
    <w:semiHidden/>
    <w:rsid w:val="00F5255D"/>
    <w:rPr>
      <w:rFonts w:cs="Times New Roman"/>
      <w:vertAlign w:val="superscript"/>
    </w:rPr>
  </w:style>
  <w:style w:type="paragraph" w:styleId="Caption">
    <w:name w:val="caption"/>
    <w:basedOn w:val="Normal"/>
    <w:next w:val="Normal"/>
    <w:uiPriority w:val="99"/>
    <w:qFormat/>
    <w:rsid w:val="00EA1B79"/>
    <w:pPr>
      <w:spacing w:after="200" w:line="240" w:lineRule="auto"/>
      <w:jc w:val="center"/>
    </w:pPr>
    <w:rPr>
      <w:iCs/>
      <w:szCs w:val="18"/>
    </w:rPr>
  </w:style>
  <w:style w:type="table" w:styleId="TableGrid">
    <w:name w:val="Table Grid"/>
    <w:basedOn w:val="TableNormal"/>
    <w:uiPriority w:val="99"/>
    <w:rsid w:val="00267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75D2"/>
    <w:pPr>
      <w:ind w:left="720"/>
      <w:contextualSpacing/>
    </w:pPr>
  </w:style>
  <w:style w:type="character" w:styleId="CommentReference">
    <w:name w:val="annotation reference"/>
    <w:uiPriority w:val="99"/>
    <w:semiHidden/>
    <w:rsid w:val="00D70F50"/>
    <w:rPr>
      <w:rFonts w:cs="Times New Roman"/>
      <w:sz w:val="16"/>
      <w:szCs w:val="16"/>
    </w:rPr>
  </w:style>
  <w:style w:type="paragraph" w:styleId="CommentText">
    <w:name w:val="annotation text"/>
    <w:basedOn w:val="Normal"/>
    <w:link w:val="CommentTextChar"/>
    <w:uiPriority w:val="99"/>
    <w:semiHidden/>
    <w:rsid w:val="00D70F50"/>
    <w:pPr>
      <w:spacing w:line="240" w:lineRule="auto"/>
    </w:pPr>
    <w:rPr>
      <w:szCs w:val="20"/>
    </w:rPr>
  </w:style>
  <w:style w:type="character" w:customStyle="1" w:styleId="CommentTextChar">
    <w:name w:val="Comment Text Char"/>
    <w:link w:val="CommentText"/>
    <w:uiPriority w:val="99"/>
    <w:semiHidden/>
    <w:locked/>
    <w:rsid w:val="00D70F50"/>
    <w:rPr>
      <w:rFonts w:cs="Times New Roman"/>
      <w:sz w:val="20"/>
      <w:szCs w:val="20"/>
    </w:rPr>
  </w:style>
  <w:style w:type="paragraph" w:styleId="CommentSubject">
    <w:name w:val="annotation subject"/>
    <w:basedOn w:val="CommentText"/>
    <w:next w:val="CommentText"/>
    <w:link w:val="CommentSubjectChar"/>
    <w:uiPriority w:val="99"/>
    <w:semiHidden/>
    <w:rsid w:val="00D70F50"/>
    <w:rPr>
      <w:b/>
      <w:bCs/>
    </w:rPr>
  </w:style>
  <w:style w:type="character" w:customStyle="1" w:styleId="CommentSubjectChar">
    <w:name w:val="Comment Subject Char"/>
    <w:link w:val="CommentSubject"/>
    <w:uiPriority w:val="99"/>
    <w:semiHidden/>
    <w:locked/>
    <w:rsid w:val="00D70F50"/>
    <w:rPr>
      <w:rFonts w:cs="Times New Roman"/>
      <w:b/>
      <w:bCs/>
      <w:sz w:val="20"/>
      <w:szCs w:val="20"/>
    </w:rPr>
  </w:style>
  <w:style w:type="paragraph" w:styleId="BalloonText">
    <w:name w:val="Balloon Text"/>
    <w:basedOn w:val="Normal"/>
    <w:link w:val="BalloonTextChar"/>
    <w:uiPriority w:val="99"/>
    <w:semiHidden/>
    <w:rsid w:val="00D70F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70F50"/>
    <w:rPr>
      <w:rFonts w:ascii="Tahoma" w:hAnsi="Tahoma" w:cs="Tahoma"/>
      <w:sz w:val="16"/>
      <w:szCs w:val="16"/>
    </w:rPr>
  </w:style>
  <w:style w:type="character" w:styleId="Strong">
    <w:name w:val="Strong"/>
    <w:uiPriority w:val="99"/>
    <w:qFormat/>
    <w:rsid w:val="00AF0636"/>
    <w:rPr>
      <w:rFonts w:cs="Times New Roman"/>
      <w:b/>
      <w:bCs/>
    </w:rPr>
  </w:style>
  <w:style w:type="paragraph" w:styleId="TOC1">
    <w:name w:val="toc 1"/>
    <w:basedOn w:val="Normal"/>
    <w:next w:val="Normal"/>
    <w:autoRedefine/>
    <w:uiPriority w:val="39"/>
    <w:rsid w:val="006650CD"/>
    <w:pPr>
      <w:spacing w:after="0"/>
    </w:pPr>
    <w:rPr>
      <w:b/>
    </w:rPr>
  </w:style>
  <w:style w:type="paragraph" w:styleId="TOC2">
    <w:name w:val="toc 2"/>
    <w:basedOn w:val="Normal"/>
    <w:next w:val="Normal"/>
    <w:autoRedefine/>
    <w:uiPriority w:val="39"/>
    <w:rsid w:val="00703E55"/>
    <w:pPr>
      <w:spacing w:after="0"/>
      <w:ind w:left="220"/>
    </w:pPr>
    <w:rPr>
      <w:i/>
    </w:rPr>
  </w:style>
  <w:style w:type="paragraph" w:styleId="TOC3">
    <w:name w:val="toc 3"/>
    <w:basedOn w:val="Normal"/>
    <w:next w:val="Normal"/>
    <w:autoRedefine/>
    <w:uiPriority w:val="39"/>
    <w:rsid w:val="00703E55"/>
    <w:pPr>
      <w:spacing w:after="0"/>
      <w:ind w:left="440"/>
    </w:pPr>
  </w:style>
  <w:style w:type="paragraph" w:styleId="TOC4">
    <w:name w:val="toc 4"/>
    <w:basedOn w:val="Normal"/>
    <w:next w:val="Normal"/>
    <w:autoRedefine/>
    <w:uiPriority w:val="99"/>
    <w:rsid w:val="00703E55"/>
    <w:pPr>
      <w:spacing w:after="0"/>
      <w:ind w:left="660"/>
    </w:pPr>
    <w:rPr>
      <w:szCs w:val="20"/>
    </w:rPr>
  </w:style>
  <w:style w:type="paragraph" w:styleId="TOC5">
    <w:name w:val="toc 5"/>
    <w:basedOn w:val="Normal"/>
    <w:next w:val="Normal"/>
    <w:autoRedefine/>
    <w:uiPriority w:val="99"/>
    <w:rsid w:val="00703E55"/>
    <w:pPr>
      <w:spacing w:after="0"/>
      <w:ind w:left="880"/>
    </w:pPr>
    <w:rPr>
      <w:szCs w:val="20"/>
    </w:rPr>
  </w:style>
  <w:style w:type="paragraph" w:styleId="TOC6">
    <w:name w:val="toc 6"/>
    <w:basedOn w:val="Normal"/>
    <w:next w:val="Normal"/>
    <w:autoRedefine/>
    <w:uiPriority w:val="99"/>
    <w:rsid w:val="00703E55"/>
    <w:pPr>
      <w:spacing w:after="0"/>
      <w:ind w:left="1100"/>
    </w:pPr>
    <w:rPr>
      <w:szCs w:val="20"/>
    </w:rPr>
  </w:style>
  <w:style w:type="paragraph" w:styleId="TOC7">
    <w:name w:val="toc 7"/>
    <w:basedOn w:val="Normal"/>
    <w:next w:val="Normal"/>
    <w:autoRedefine/>
    <w:uiPriority w:val="99"/>
    <w:rsid w:val="00703E55"/>
    <w:pPr>
      <w:spacing w:after="0"/>
      <w:ind w:left="1320"/>
    </w:pPr>
    <w:rPr>
      <w:szCs w:val="20"/>
    </w:rPr>
  </w:style>
  <w:style w:type="paragraph" w:styleId="TOC8">
    <w:name w:val="toc 8"/>
    <w:basedOn w:val="Normal"/>
    <w:next w:val="Normal"/>
    <w:autoRedefine/>
    <w:uiPriority w:val="99"/>
    <w:rsid w:val="00703E55"/>
    <w:pPr>
      <w:spacing w:after="0"/>
      <w:ind w:left="1540"/>
    </w:pPr>
    <w:rPr>
      <w:szCs w:val="20"/>
    </w:rPr>
  </w:style>
  <w:style w:type="paragraph" w:styleId="TOC9">
    <w:name w:val="toc 9"/>
    <w:basedOn w:val="Normal"/>
    <w:next w:val="Normal"/>
    <w:autoRedefine/>
    <w:uiPriority w:val="99"/>
    <w:rsid w:val="00703E55"/>
    <w:pPr>
      <w:spacing w:after="0"/>
      <w:ind w:left="1760"/>
    </w:pPr>
    <w:rPr>
      <w:szCs w:val="20"/>
    </w:rPr>
  </w:style>
  <w:style w:type="paragraph" w:styleId="FootnoteText">
    <w:name w:val="footnote text"/>
    <w:basedOn w:val="Normal"/>
    <w:link w:val="FootnoteTextChar"/>
    <w:uiPriority w:val="99"/>
    <w:semiHidden/>
    <w:rsid w:val="00A663A4"/>
    <w:pPr>
      <w:spacing w:after="0" w:line="240" w:lineRule="auto"/>
    </w:pPr>
    <w:rPr>
      <w:szCs w:val="20"/>
    </w:rPr>
  </w:style>
  <w:style w:type="character" w:customStyle="1" w:styleId="FootnoteTextChar">
    <w:name w:val="Footnote Text Char"/>
    <w:link w:val="FootnoteText"/>
    <w:uiPriority w:val="99"/>
    <w:semiHidden/>
    <w:locked/>
    <w:rsid w:val="00A663A4"/>
    <w:rPr>
      <w:rFonts w:cs="Times New Roman"/>
      <w:sz w:val="20"/>
      <w:szCs w:val="20"/>
    </w:rPr>
  </w:style>
  <w:style w:type="character" w:styleId="FootnoteReference">
    <w:name w:val="footnote reference"/>
    <w:uiPriority w:val="99"/>
    <w:semiHidden/>
    <w:rsid w:val="00A663A4"/>
    <w:rPr>
      <w:rFonts w:cs="Times New Roman"/>
      <w:vertAlign w:val="superscript"/>
    </w:rPr>
  </w:style>
  <w:style w:type="paragraph" w:customStyle="1" w:styleId="Default">
    <w:name w:val="Default"/>
    <w:uiPriority w:val="99"/>
    <w:rsid w:val="00B939B0"/>
    <w:pPr>
      <w:autoSpaceDE w:val="0"/>
      <w:autoSpaceDN w:val="0"/>
      <w:adjustRightInd w:val="0"/>
    </w:pPr>
    <w:rPr>
      <w:rFonts w:ascii="Verlag Book" w:hAnsi="Verlag Book" w:cs="Verlag Book"/>
      <w:color w:val="000000"/>
      <w:sz w:val="24"/>
      <w:szCs w:val="24"/>
      <w:lang w:eastAsia="en-US"/>
    </w:rPr>
  </w:style>
  <w:style w:type="paragraph" w:customStyle="1" w:styleId="Pa4">
    <w:name w:val="Pa4"/>
    <w:basedOn w:val="Default"/>
    <w:next w:val="Default"/>
    <w:uiPriority w:val="99"/>
    <w:rsid w:val="00B939B0"/>
    <w:pPr>
      <w:spacing w:line="241" w:lineRule="atLeast"/>
    </w:pPr>
    <w:rPr>
      <w:rFonts w:cs="Times New Roman"/>
      <w:color w:val="auto"/>
    </w:rPr>
  </w:style>
  <w:style w:type="character" w:customStyle="1" w:styleId="A8">
    <w:name w:val="A8"/>
    <w:uiPriority w:val="99"/>
    <w:rsid w:val="00B939B0"/>
    <w:rPr>
      <w:color w:val="000000"/>
      <w:sz w:val="22"/>
    </w:rPr>
  </w:style>
  <w:style w:type="table" w:customStyle="1" w:styleId="GridTable41">
    <w:name w:val="Grid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5Dark1">
    <w:name w:val="Grid Table 5 Dark1"/>
    <w:uiPriority w:val="99"/>
    <w:rsid w:val="005B4A3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7Colorful1">
    <w:name w:val="Grid Table 7 Colorful1"/>
    <w:uiPriority w:val="99"/>
    <w:rsid w:val="005B4A34"/>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Table31">
    <w:name w:val="List Table 31"/>
    <w:uiPriority w:val="99"/>
    <w:rsid w:val="005B4A3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41">
    <w:name w:val="List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style>
  <w:style w:type="table" w:customStyle="1" w:styleId="ListTable5Dark1">
    <w:name w:val="List Table 5 Dark1"/>
    <w:uiPriority w:val="99"/>
    <w:rsid w:val="005B4A34"/>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style>
  <w:style w:type="paragraph" w:styleId="Revision">
    <w:name w:val="Revision"/>
    <w:hidden/>
    <w:uiPriority w:val="99"/>
    <w:semiHidden/>
    <w:rsid w:val="008039B1"/>
    <w:rPr>
      <w:sz w:val="22"/>
      <w:szCs w:val="22"/>
      <w:lang w:eastAsia="en-US"/>
    </w:rPr>
  </w:style>
  <w:style w:type="table" w:customStyle="1" w:styleId="PlainTable31">
    <w:name w:val="Plain Table 3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7Colorful2">
    <w:name w:val="Grid Table 7 Colorful2"/>
    <w:uiPriority w:val="99"/>
    <w:rsid w:val="00B50EC8"/>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1Light1">
    <w:name w:val="Grid Table 1 Light1"/>
    <w:uiPriority w:val="99"/>
    <w:rsid w:val="00B50EC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1">
    <w:name w:val="Table Grid Light1"/>
    <w:uiPriority w:val="99"/>
    <w:rsid w:val="00B50EC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7Colorful1">
    <w:name w:val="List Table 7 Colorful1"/>
    <w:uiPriority w:val="99"/>
    <w:rsid w:val="00B50EC8"/>
    <w:rPr>
      <w:color w:val="000000"/>
    </w:rPr>
    <w:tblPr>
      <w:tblStyleRowBandSize w:val="1"/>
      <w:tblStyleColBandSize w:val="1"/>
      <w:tblInd w:w="0" w:type="dxa"/>
      <w:tblCellMar>
        <w:top w:w="0" w:type="dxa"/>
        <w:left w:w="108" w:type="dxa"/>
        <w:bottom w:w="0" w:type="dxa"/>
        <w:right w:w="108" w:type="dxa"/>
      </w:tblCellMar>
    </w:tblPr>
  </w:style>
  <w:style w:type="table" w:customStyle="1" w:styleId="GridTable3-Accent51">
    <w:name w:val="Grid Table 3 - Accent 51"/>
    <w:uiPriority w:val="99"/>
    <w:rsid w:val="00B50EC8"/>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style>
  <w:style w:type="table" w:customStyle="1" w:styleId="GridTable31">
    <w:name w:val="Grid Table 31"/>
    <w:uiPriority w:val="99"/>
    <w:rsid w:val="00B50EC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PlainTable41">
    <w:name w:val="Plain Table 4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3-Accent31">
    <w:name w:val="Grid Table 3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4-Accent31">
    <w:name w:val="Grid Table 4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6Colorful-Accent31">
    <w:name w:val="Grid Table 6 Colorful - Accent 31"/>
    <w:uiPriority w:val="99"/>
    <w:rsid w:val="00740F81"/>
    <w:rPr>
      <w:color w:val="B58D15"/>
    </w:rPr>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3-Accent41">
    <w:name w:val="Grid Table 3 - Accent 41"/>
    <w:uiPriority w:val="99"/>
    <w:rsid w:val="00EF215C"/>
    <w:tblPr>
      <w:tblStyleRowBandSize w:val="1"/>
      <w:tblStyleColBandSize w:val="1"/>
      <w:tblInd w:w="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CellMar>
        <w:top w:w="0" w:type="dxa"/>
        <w:left w:w="108" w:type="dxa"/>
        <w:bottom w:w="0" w:type="dxa"/>
        <w:right w:w="108" w:type="dxa"/>
      </w:tblCellMar>
    </w:tblPr>
  </w:style>
  <w:style w:type="table" w:customStyle="1" w:styleId="GridTable3-Accent61">
    <w:name w:val="Grid Table 3 - Accent 61"/>
    <w:uiPriority w:val="99"/>
    <w:rsid w:val="00FD7199"/>
    <w:tblPr>
      <w:tblStyleRowBandSize w:val="1"/>
      <w:tblStyleColBandSize w:val="1"/>
      <w:tblInd w:w="0" w:type="dxa"/>
      <w:tblBorders>
        <w:top w:val="single" w:sz="4" w:space="0" w:color="C59DC3"/>
        <w:left w:val="single" w:sz="4" w:space="0" w:color="C59DC3"/>
        <w:bottom w:val="single" w:sz="4" w:space="0" w:color="C59DC3"/>
        <w:right w:val="single" w:sz="4" w:space="0" w:color="C59DC3"/>
        <w:insideH w:val="single" w:sz="4" w:space="0" w:color="C59DC3"/>
        <w:insideV w:val="single" w:sz="4" w:space="0" w:color="C59DC3"/>
      </w:tblBorders>
      <w:tblCellMar>
        <w:top w:w="0" w:type="dxa"/>
        <w:left w:w="108" w:type="dxa"/>
        <w:bottom w:w="0" w:type="dxa"/>
        <w:right w:w="108" w:type="dxa"/>
      </w:tblCellMar>
    </w:tblPr>
  </w:style>
  <w:style w:type="table" w:customStyle="1" w:styleId="GridTable3-Accent21">
    <w:name w:val="Grid Table 3 - Accent 21"/>
    <w:uiPriority w:val="99"/>
    <w:rsid w:val="00175DF2"/>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style>
  <w:style w:type="table" w:customStyle="1" w:styleId="GridTable3-Accent11">
    <w:name w:val="Grid Table 3 - Accent 11"/>
    <w:uiPriority w:val="99"/>
    <w:rsid w:val="00175DF2"/>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style>
  <w:style w:type="character" w:styleId="Emphasis">
    <w:name w:val="Emphasis"/>
    <w:uiPriority w:val="99"/>
    <w:qFormat/>
    <w:rsid w:val="00C27F68"/>
    <w:rPr>
      <w:rFonts w:cs="Times New Roman"/>
      <w:i/>
      <w:iCs/>
    </w:rPr>
  </w:style>
  <w:style w:type="table" w:styleId="TableSimple1">
    <w:name w:val="Table Simple 1"/>
    <w:basedOn w:val="TableNormal"/>
    <w:uiPriority w:val="99"/>
    <w:locked/>
    <w:rsid w:val="00576BF3"/>
    <w:pPr>
      <w:spacing w:after="160" w:line="259" w:lineRule="auto"/>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ListBullet2">
    <w:name w:val="List Bullet 2"/>
    <w:basedOn w:val="Normal"/>
    <w:uiPriority w:val="99"/>
    <w:locked/>
    <w:rsid w:val="00F9017B"/>
    <w:pPr>
      <w:numPr>
        <w:numId w:val="2"/>
      </w:numPr>
      <w:spacing w:before="60" w:after="60"/>
      <w:ind w:left="641" w:hanging="357"/>
    </w:pPr>
  </w:style>
  <w:style w:type="paragraph" w:styleId="List3">
    <w:name w:val="List 3"/>
    <w:basedOn w:val="Normal"/>
    <w:uiPriority w:val="99"/>
    <w:locked/>
    <w:rsid w:val="009F57DB"/>
    <w:pPr>
      <w:ind w:left="849" w:hanging="283"/>
    </w:pPr>
  </w:style>
  <w:style w:type="paragraph" w:styleId="List2">
    <w:name w:val="List 2"/>
    <w:basedOn w:val="Normal"/>
    <w:uiPriority w:val="99"/>
    <w:locked/>
    <w:rsid w:val="009F57DB"/>
    <w:pPr>
      <w:ind w:left="566" w:hanging="283"/>
    </w:pPr>
  </w:style>
  <w:style w:type="character" w:styleId="PageNumber">
    <w:name w:val="page number"/>
    <w:uiPriority w:val="99"/>
    <w:locked/>
    <w:rsid w:val="008B47E9"/>
    <w:rPr>
      <w:rFonts w:cs="Times New Roman"/>
    </w:rPr>
  </w:style>
  <w:style w:type="character" w:customStyle="1" w:styleId="CharChar12">
    <w:name w:val="Char Char12"/>
    <w:uiPriority w:val="99"/>
    <w:rsid w:val="003B5197"/>
    <w:rPr>
      <w:rFonts w:ascii="Arial" w:hAnsi="Arial"/>
      <w:b/>
      <w:caps/>
      <w:kern w:val="32"/>
      <w:sz w:val="32"/>
      <w:lang w:eastAsia="en-US"/>
    </w:rPr>
  </w:style>
  <w:style w:type="character" w:customStyle="1" w:styleId="CharChar11">
    <w:name w:val="Char Char11"/>
    <w:uiPriority w:val="99"/>
    <w:rsid w:val="003B5197"/>
    <w:rPr>
      <w:rFonts w:ascii="Arial" w:hAnsi="Arial"/>
      <w:b/>
      <w:kern w:val="32"/>
      <w:sz w:val="32"/>
      <w:lang w:eastAsia="en-US"/>
    </w:rPr>
  </w:style>
  <w:style w:type="paragraph" w:customStyle="1" w:styleId="Abstract">
    <w:name w:val="Abstract"/>
    <w:basedOn w:val="Normal"/>
    <w:uiPriority w:val="99"/>
    <w:rsid w:val="003B5197"/>
    <w:pPr>
      <w:spacing w:before="400" w:after="0" w:line="240" w:lineRule="auto"/>
    </w:pPr>
    <w:rPr>
      <w:rFonts w:cs="Arial"/>
      <w:szCs w:val="20"/>
    </w:rPr>
  </w:style>
  <w:style w:type="character" w:customStyle="1" w:styleId="CharChar1">
    <w:name w:val="Char Char1"/>
    <w:uiPriority w:val="99"/>
    <w:rsid w:val="003B5197"/>
    <w:rPr>
      <w:rFonts w:ascii="Arial" w:hAnsi="Arial"/>
      <w:b/>
      <w:caps/>
      <w:kern w:val="28"/>
      <w:sz w:val="28"/>
      <w:lang w:eastAsia="en-US"/>
    </w:rPr>
  </w:style>
  <w:style w:type="paragraph" w:styleId="BodyText">
    <w:name w:val="Body Text"/>
    <w:basedOn w:val="Normal"/>
    <w:link w:val="BodyTextChar1"/>
    <w:uiPriority w:val="99"/>
    <w:locked/>
    <w:rsid w:val="003B5197"/>
    <w:pPr>
      <w:spacing w:before="200" w:after="0" w:line="240" w:lineRule="auto"/>
    </w:pPr>
    <w:rPr>
      <w:sz w:val="24"/>
      <w:szCs w:val="20"/>
    </w:rPr>
  </w:style>
  <w:style w:type="character" w:customStyle="1" w:styleId="BodyTextChar">
    <w:name w:val="Body Text Char"/>
    <w:uiPriority w:val="99"/>
    <w:semiHidden/>
    <w:locked/>
    <w:rPr>
      <w:rFonts w:ascii="Calibri" w:hAnsi="Calibri" w:cs="Times New Roman"/>
      <w:lang w:eastAsia="en-US"/>
    </w:rPr>
  </w:style>
  <w:style w:type="character" w:customStyle="1" w:styleId="BodyTextChar1">
    <w:name w:val="Body Text Char1"/>
    <w:link w:val="BodyText"/>
    <w:uiPriority w:val="99"/>
    <w:locked/>
    <w:rsid w:val="003B5197"/>
    <w:rPr>
      <w:rFonts w:ascii="Arial" w:hAnsi="Arial"/>
      <w:sz w:val="24"/>
      <w:lang w:val="en-CA" w:eastAsia="en-US"/>
    </w:rPr>
  </w:style>
  <w:style w:type="paragraph" w:styleId="ListBullet">
    <w:name w:val="List Bullet"/>
    <w:basedOn w:val="List"/>
    <w:uiPriority w:val="99"/>
    <w:locked/>
    <w:rsid w:val="003B5197"/>
    <w:pPr>
      <w:tabs>
        <w:tab w:val="num" w:pos="360"/>
      </w:tabs>
      <w:spacing w:before="200" w:after="0" w:line="240" w:lineRule="auto"/>
      <w:ind w:left="360" w:hanging="360"/>
    </w:pPr>
    <w:rPr>
      <w:szCs w:val="24"/>
    </w:rPr>
  </w:style>
  <w:style w:type="paragraph" w:customStyle="1" w:styleId="TableCaption">
    <w:name w:val="Table Caption"/>
    <w:basedOn w:val="Normal"/>
    <w:uiPriority w:val="99"/>
    <w:rsid w:val="003B5197"/>
    <w:pPr>
      <w:keepNext/>
      <w:keepLines/>
      <w:spacing w:before="200" w:after="200" w:line="240" w:lineRule="auto"/>
      <w:jc w:val="center"/>
    </w:pPr>
    <w:rPr>
      <w:spacing w:val="-1"/>
      <w:szCs w:val="20"/>
      <w:lang w:val="en-US"/>
    </w:rPr>
  </w:style>
  <w:style w:type="paragraph" w:customStyle="1" w:styleId="TableParagraph">
    <w:name w:val="Table Paragraph"/>
    <w:basedOn w:val="Normal"/>
    <w:uiPriority w:val="99"/>
    <w:rsid w:val="003B5197"/>
    <w:pPr>
      <w:widowControl w:val="0"/>
      <w:spacing w:before="0" w:after="0" w:line="240" w:lineRule="auto"/>
      <w:jc w:val="center"/>
    </w:pPr>
    <w:rPr>
      <w:rFonts w:eastAsia="Times New Roman" w:cs="Arial"/>
      <w:szCs w:val="20"/>
      <w:lang w:val="en-US"/>
    </w:rPr>
  </w:style>
  <w:style w:type="paragraph" w:styleId="Bibliography">
    <w:name w:val="Bibliography"/>
    <w:basedOn w:val="Normal"/>
    <w:next w:val="Normal"/>
    <w:uiPriority w:val="99"/>
    <w:rsid w:val="003B5197"/>
    <w:pPr>
      <w:spacing w:before="0" w:after="0" w:line="240" w:lineRule="auto"/>
      <w:ind w:left="720" w:hanging="720"/>
    </w:pPr>
    <w:rPr>
      <w:szCs w:val="24"/>
    </w:rPr>
  </w:style>
  <w:style w:type="paragraph" w:styleId="List">
    <w:name w:val="List"/>
    <w:basedOn w:val="Normal"/>
    <w:uiPriority w:val="99"/>
    <w:locked/>
    <w:rsid w:val="003B5197"/>
    <w:pPr>
      <w:ind w:left="283" w:hanging="283"/>
    </w:pPr>
  </w:style>
  <w:style w:type="paragraph" w:customStyle="1" w:styleId="StyleHeading1LatinArial10ptBoldAuto">
    <w:name w:val="Style Heading 1 + (Latin) Arial 10 pt Bold Auto"/>
    <w:basedOn w:val="Heading1"/>
    <w:uiPriority w:val="99"/>
    <w:rsid w:val="003B5197"/>
    <w:pPr>
      <w:ind w:left="431" w:hanging="431"/>
    </w:pPr>
    <w:rPr>
      <w:b w:val="0"/>
      <w:bCs/>
    </w:rPr>
  </w:style>
  <w:style w:type="paragraph" w:customStyle="1" w:styleId="StyleHeading2LatinArial10ptBoldAutoBefore12pt">
    <w:name w:val="Style Heading 2 + (Latin) Arial 10 pt Bold Auto Before:  12 pt..."/>
    <w:basedOn w:val="Heading2"/>
    <w:autoRedefine/>
    <w:uiPriority w:val="99"/>
    <w:rsid w:val="003B5197"/>
    <w:rPr>
      <w:rFonts w:eastAsia="Century Gothic"/>
      <w:bCs/>
    </w:rPr>
  </w:style>
  <w:style w:type="paragraph" w:styleId="ListBullet3">
    <w:name w:val="List Bullet 3"/>
    <w:basedOn w:val="Normal"/>
    <w:uiPriority w:val="99"/>
    <w:locked/>
    <w:rsid w:val="0097363E"/>
    <w:pPr>
      <w:numPr>
        <w:numId w:val="3"/>
      </w:numPr>
    </w:pPr>
  </w:style>
  <w:style w:type="paragraph" w:styleId="ListContinue">
    <w:name w:val="List Continue"/>
    <w:basedOn w:val="Normal"/>
    <w:uiPriority w:val="99"/>
    <w:locked/>
    <w:rsid w:val="0097363E"/>
    <w:pPr>
      <w:ind w:left="283"/>
    </w:pPr>
  </w:style>
  <w:style w:type="paragraph" w:styleId="ListContinue2">
    <w:name w:val="List Continue 2"/>
    <w:basedOn w:val="Normal"/>
    <w:uiPriority w:val="99"/>
    <w:locked/>
    <w:rsid w:val="0097363E"/>
    <w:pPr>
      <w:ind w:left="566"/>
    </w:pPr>
  </w:style>
  <w:style w:type="paragraph" w:styleId="ListContinue3">
    <w:name w:val="List Continue 3"/>
    <w:basedOn w:val="Normal"/>
    <w:uiPriority w:val="99"/>
    <w:locked/>
    <w:rsid w:val="0097363E"/>
    <w:pPr>
      <w:ind w:left="849"/>
    </w:pPr>
  </w:style>
  <w:style w:type="paragraph" w:styleId="ListNumber">
    <w:name w:val="List Number"/>
    <w:basedOn w:val="Normal"/>
    <w:uiPriority w:val="99"/>
    <w:locked/>
    <w:rsid w:val="0097363E"/>
    <w:pPr>
      <w:numPr>
        <w:numId w:val="4"/>
      </w:numPr>
      <w:tabs>
        <w:tab w:val="clear" w:pos="926"/>
        <w:tab w:val="num" w:pos="360"/>
      </w:tabs>
      <w:ind w:left="360"/>
    </w:pPr>
  </w:style>
  <w:style w:type="paragraph" w:styleId="ListNumber2">
    <w:name w:val="List Number 2"/>
    <w:basedOn w:val="Normal"/>
    <w:uiPriority w:val="99"/>
    <w:locked/>
    <w:rsid w:val="0097363E"/>
    <w:pPr>
      <w:numPr>
        <w:numId w:val="5"/>
      </w:numPr>
      <w:tabs>
        <w:tab w:val="clear" w:pos="360"/>
        <w:tab w:val="num" w:pos="643"/>
      </w:tabs>
      <w:ind w:left="643"/>
    </w:pPr>
  </w:style>
  <w:style w:type="paragraph" w:styleId="ListNumber3">
    <w:name w:val="List Number 3"/>
    <w:basedOn w:val="Normal"/>
    <w:uiPriority w:val="99"/>
    <w:locked/>
    <w:rsid w:val="0097363E"/>
    <w:pPr>
      <w:tabs>
        <w:tab w:val="num" w:pos="926"/>
      </w:tabs>
      <w:ind w:left="926" w:hanging="360"/>
    </w:pPr>
  </w:style>
  <w:style w:type="paragraph" w:customStyle="1" w:styleId="Author">
    <w:name w:val="Author"/>
    <w:basedOn w:val="Normal"/>
    <w:uiPriority w:val="99"/>
    <w:rsid w:val="0097363E"/>
    <w:pPr>
      <w:spacing w:before="400" w:after="0" w:line="240" w:lineRule="auto"/>
    </w:pPr>
    <w:rPr>
      <w:rFonts w:cs="Arial"/>
      <w:sz w:val="24"/>
      <w:szCs w:val="24"/>
    </w:rPr>
  </w:style>
  <w:style w:type="paragraph" w:customStyle="1" w:styleId="FigureCaption">
    <w:name w:val="Figure Caption"/>
    <w:basedOn w:val="Normal"/>
    <w:uiPriority w:val="99"/>
    <w:rsid w:val="0097363E"/>
    <w:pPr>
      <w:spacing w:before="200" w:after="200" w:line="240" w:lineRule="auto"/>
      <w:jc w:val="center"/>
    </w:pPr>
    <w:rPr>
      <w:rFonts w:cs="Arial"/>
      <w:szCs w:val="24"/>
    </w:rPr>
  </w:style>
  <w:style w:type="paragraph" w:customStyle="1" w:styleId="Equation">
    <w:name w:val="Equation"/>
    <w:basedOn w:val="Normal"/>
    <w:uiPriority w:val="99"/>
    <w:rsid w:val="0097363E"/>
    <w:pPr>
      <w:spacing w:before="200" w:after="200" w:line="240" w:lineRule="auto"/>
    </w:pPr>
    <w:rPr>
      <w:szCs w:val="24"/>
    </w:rPr>
  </w:style>
  <w:style w:type="paragraph" w:customStyle="1" w:styleId="AuthorAffiliation">
    <w:name w:val="Author Affiliation"/>
    <w:basedOn w:val="Normal"/>
    <w:uiPriority w:val="99"/>
    <w:rsid w:val="0097363E"/>
    <w:pPr>
      <w:spacing w:before="0" w:after="0" w:line="240" w:lineRule="auto"/>
    </w:pPr>
    <w:rPr>
      <w:rFonts w:cs="Arial"/>
      <w:szCs w:val="20"/>
    </w:rPr>
  </w:style>
  <w:style w:type="paragraph" w:customStyle="1" w:styleId="Figure">
    <w:name w:val="Figure"/>
    <w:basedOn w:val="Normal"/>
    <w:uiPriority w:val="99"/>
    <w:rsid w:val="0097363E"/>
    <w:pPr>
      <w:keepNext/>
      <w:keepLines/>
      <w:spacing w:before="200" w:after="200" w:line="240" w:lineRule="auto"/>
      <w:jc w:val="center"/>
    </w:pPr>
    <w:rPr>
      <w:szCs w:val="24"/>
    </w:rPr>
  </w:style>
  <w:style w:type="paragraph" w:customStyle="1" w:styleId="HeadingUn-numbered">
    <w:name w:val="Heading Un-numbered"/>
    <w:basedOn w:val="Heading1"/>
    <w:next w:val="BodyText"/>
    <w:uiPriority w:val="99"/>
    <w:rsid w:val="0097363E"/>
    <w:pPr>
      <w:spacing w:before="400" w:after="200"/>
      <w:ind w:left="0" w:firstLine="0"/>
    </w:pPr>
    <w:rPr>
      <w:rFonts w:eastAsia="Century Gothic"/>
      <w:b w:val="0"/>
      <w:bCs/>
      <w:kern w:val="32"/>
    </w:rPr>
  </w:style>
  <w:style w:type="paragraph" w:customStyle="1" w:styleId="StyleHeading2LatinArial">
    <w:name w:val="Style Heading 2 + (Latin) Arial"/>
    <w:basedOn w:val="Heading2"/>
    <w:uiPriority w:val="99"/>
    <w:rsid w:val="0025273E"/>
    <w:pPr>
      <w:ind w:left="578" w:hanging="578"/>
    </w:pPr>
  </w:style>
  <w:style w:type="table" w:customStyle="1" w:styleId="TableSample1">
    <w:name w:val="Table Sample1"/>
    <w:basedOn w:val="TableNormal"/>
    <w:next w:val="TableGrid"/>
    <w:rsid w:val="006C79D9"/>
    <w:rPr>
      <w:rFonts w:ascii="Times New Roman" w:eastAsia="Times New Roman" w:hAnsi="Times New Roman"/>
    </w:rPr>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table" w:customStyle="1" w:styleId="TableGrid2">
    <w:name w:val="Table Grid2"/>
    <w:basedOn w:val="TableNormal"/>
    <w:next w:val="TableGrid"/>
    <w:uiPriority w:val="39"/>
    <w:rsid w:val="0068416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5397"/>
    <w:rPr>
      <w:color w:val="808080"/>
    </w:rPr>
  </w:style>
  <w:style w:type="character" w:customStyle="1" w:styleId="a">
    <w:name w:val="a"/>
    <w:basedOn w:val="DefaultParagraphFont"/>
    <w:rsid w:val="00C9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096149">
      <w:marLeft w:val="0"/>
      <w:marRight w:val="0"/>
      <w:marTop w:val="0"/>
      <w:marBottom w:val="0"/>
      <w:divBdr>
        <w:top w:val="none" w:sz="0" w:space="0" w:color="auto"/>
        <w:left w:val="none" w:sz="0" w:space="0" w:color="auto"/>
        <w:bottom w:val="none" w:sz="0" w:space="0" w:color="auto"/>
        <w:right w:val="none" w:sz="0" w:space="0" w:color="auto"/>
      </w:divBdr>
    </w:div>
    <w:div w:id="829096150">
      <w:marLeft w:val="0"/>
      <w:marRight w:val="0"/>
      <w:marTop w:val="0"/>
      <w:marBottom w:val="0"/>
      <w:divBdr>
        <w:top w:val="none" w:sz="0" w:space="0" w:color="auto"/>
        <w:left w:val="none" w:sz="0" w:space="0" w:color="auto"/>
        <w:bottom w:val="none" w:sz="0" w:space="0" w:color="auto"/>
        <w:right w:val="none" w:sz="0" w:space="0" w:color="auto"/>
      </w:divBdr>
    </w:div>
    <w:div w:id="829096151">
      <w:marLeft w:val="0"/>
      <w:marRight w:val="0"/>
      <w:marTop w:val="0"/>
      <w:marBottom w:val="0"/>
      <w:divBdr>
        <w:top w:val="none" w:sz="0" w:space="0" w:color="auto"/>
        <w:left w:val="none" w:sz="0" w:space="0" w:color="auto"/>
        <w:bottom w:val="none" w:sz="0" w:space="0" w:color="auto"/>
        <w:right w:val="none" w:sz="0" w:space="0" w:color="auto"/>
      </w:divBdr>
    </w:div>
    <w:div w:id="829096152">
      <w:marLeft w:val="0"/>
      <w:marRight w:val="0"/>
      <w:marTop w:val="0"/>
      <w:marBottom w:val="0"/>
      <w:divBdr>
        <w:top w:val="none" w:sz="0" w:space="0" w:color="auto"/>
        <w:left w:val="none" w:sz="0" w:space="0" w:color="auto"/>
        <w:bottom w:val="none" w:sz="0" w:space="0" w:color="auto"/>
        <w:right w:val="none" w:sz="0" w:space="0" w:color="auto"/>
      </w:divBdr>
    </w:div>
    <w:div w:id="829096153">
      <w:marLeft w:val="0"/>
      <w:marRight w:val="0"/>
      <w:marTop w:val="0"/>
      <w:marBottom w:val="0"/>
      <w:divBdr>
        <w:top w:val="none" w:sz="0" w:space="0" w:color="auto"/>
        <w:left w:val="none" w:sz="0" w:space="0" w:color="auto"/>
        <w:bottom w:val="none" w:sz="0" w:space="0" w:color="auto"/>
        <w:right w:val="none" w:sz="0" w:space="0" w:color="auto"/>
      </w:divBdr>
    </w:div>
    <w:div w:id="829096154">
      <w:marLeft w:val="0"/>
      <w:marRight w:val="0"/>
      <w:marTop w:val="0"/>
      <w:marBottom w:val="0"/>
      <w:divBdr>
        <w:top w:val="none" w:sz="0" w:space="0" w:color="auto"/>
        <w:left w:val="none" w:sz="0" w:space="0" w:color="auto"/>
        <w:bottom w:val="none" w:sz="0" w:space="0" w:color="auto"/>
        <w:right w:val="none" w:sz="0" w:space="0" w:color="auto"/>
      </w:divBdr>
    </w:div>
    <w:div w:id="8290961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mailto:hpourmand@ryerson.ca"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'Cl 625 and Cl 625ON-all span'!$B$3</c:f>
              <c:strCache>
                <c:ptCount val="1"/>
                <c:pt idx="0">
                  <c:v>CL-625</c:v>
                </c:pt>
              </c:strCache>
            </c:strRef>
          </c:tx>
          <c:spPr>
            <a:ln w="19050" cap="rnd">
              <a:solidFill>
                <a:schemeClr val="tx1"/>
              </a:solidFill>
              <a:prstDash val="solid"/>
              <a:round/>
            </a:ln>
            <a:effectLst/>
          </c:spPr>
          <c:marker>
            <c:symbol val="none"/>
          </c:marker>
          <c:xVal>
            <c:numRef>
              <c:f>'Cl 625 and Cl 625ON-all span'!$A$4:$A$9</c:f>
              <c:numCache>
                <c:formatCode>0.00</c:formatCode>
                <c:ptCount val="6"/>
                <c:pt idx="0">
                  <c:v>10</c:v>
                </c:pt>
                <c:pt idx="1">
                  <c:v>13</c:v>
                </c:pt>
                <c:pt idx="2">
                  <c:v>16</c:v>
                </c:pt>
                <c:pt idx="3">
                  <c:v>20</c:v>
                </c:pt>
                <c:pt idx="4">
                  <c:v>25</c:v>
                </c:pt>
                <c:pt idx="5">
                  <c:v>30</c:v>
                </c:pt>
              </c:numCache>
            </c:numRef>
          </c:xVal>
          <c:yVal>
            <c:numRef>
              <c:f>'Cl 625 and Cl 625ON-all span'!$B$4:$B$9</c:f>
              <c:numCache>
                <c:formatCode>General</c:formatCode>
                <c:ptCount val="6"/>
                <c:pt idx="0" formatCode="0.00">
                  <c:v>108.83</c:v>
                </c:pt>
                <c:pt idx="1">
                  <c:v>94.896000000000001</c:v>
                </c:pt>
                <c:pt idx="2" formatCode="0.00">
                  <c:v>69.314999999999998</c:v>
                </c:pt>
                <c:pt idx="3" formatCode="0.00">
                  <c:v>45.29</c:v>
                </c:pt>
                <c:pt idx="4" formatCode="0.00">
                  <c:v>47.220999999999997</c:v>
                </c:pt>
                <c:pt idx="5" formatCode="0.00">
                  <c:v>43.536000000000001</c:v>
                </c:pt>
              </c:numCache>
            </c:numRef>
          </c:yVal>
          <c:smooth val="1"/>
          <c:extLst>
            <c:ext xmlns:c16="http://schemas.microsoft.com/office/drawing/2014/chart" uri="{C3380CC4-5D6E-409C-BE32-E72D297353CC}">
              <c16:uniqueId val="{00000000-B94B-491C-91C5-8EAAD5E4BF69}"/>
            </c:ext>
          </c:extLst>
        </c:ser>
        <c:ser>
          <c:idx val="1"/>
          <c:order val="1"/>
          <c:tx>
            <c:strRef>
              <c:f>'Cl 625 and Cl 625ON-all span'!$C$3</c:f>
              <c:strCache>
                <c:ptCount val="1"/>
                <c:pt idx="0">
                  <c:v>CL-625-ONT</c:v>
                </c:pt>
              </c:strCache>
            </c:strRef>
          </c:tx>
          <c:spPr>
            <a:ln w="19050" cap="rnd">
              <a:solidFill>
                <a:schemeClr val="tx1"/>
              </a:solidFill>
              <a:prstDash val="dash"/>
              <a:round/>
            </a:ln>
            <a:effectLst/>
          </c:spPr>
          <c:marker>
            <c:symbol val="none"/>
          </c:marker>
          <c:xVal>
            <c:numRef>
              <c:f>'Cl 625 and Cl 625ON-all span'!$A$4:$A$9</c:f>
              <c:numCache>
                <c:formatCode>0.00</c:formatCode>
                <c:ptCount val="6"/>
                <c:pt idx="0">
                  <c:v>10</c:v>
                </c:pt>
                <c:pt idx="1">
                  <c:v>13</c:v>
                </c:pt>
                <c:pt idx="2">
                  <c:v>16</c:v>
                </c:pt>
                <c:pt idx="3">
                  <c:v>20</c:v>
                </c:pt>
                <c:pt idx="4">
                  <c:v>25</c:v>
                </c:pt>
                <c:pt idx="5">
                  <c:v>30</c:v>
                </c:pt>
              </c:numCache>
            </c:numRef>
          </c:xVal>
          <c:yVal>
            <c:numRef>
              <c:f>'Cl 625 and Cl 625ON-all span'!$C$4:$C$9</c:f>
              <c:numCache>
                <c:formatCode>General</c:formatCode>
                <c:ptCount val="6"/>
                <c:pt idx="0" formatCode="0.00">
                  <c:v>108.83</c:v>
                </c:pt>
                <c:pt idx="1">
                  <c:v>94.896000000000001</c:v>
                </c:pt>
                <c:pt idx="2" formatCode="0.00">
                  <c:v>77.337000000000003</c:v>
                </c:pt>
                <c:pt idx="3" formatCode="0.00">
                  <c:v>63.726999999999997</c:v>
                </c:pt>
                <c:pt idx="4" formatCode="0.00">
                  <c:v>51.853000000000002</c:v>
                </c:pt>
                <c:pt idx="5" formatCode="0.00">
                  <c:v>47.637999999999998</c:v>
                </c:pt>
              </c:numCache>
            </c:numRef>
          </c:yVal>
          <c:smooth val="1"/>
          <c:extLst>
            <c:ext xmlns:c16="http://schemas.microsoft.com/office/drawing/2014/chart" uri="{C3380CC4-5D6E-409C-BE32-E72D297353CC}">
              <c16:uniqueId val="{00000001-B94B-491C-91C5-8EAAD5E4BF69}"/>
            </c:ext>
          </c:extLst>
        </c:ser>
        <c:dLbls>
          <c:showLegendKey val="0"/>
          <c:showVal val="0"/>
          <c:showCatName val="0"/>
          <c:showSerName val="0"/>
          <c:showPercent val="0"/>
          <c:showBubbleSize val="0"/>
        </c:dLbls>
        <c:axId val="69402528"/>
        <c:axId val="184003904"/>
      </c:scatterChart>
      <c:valAx>
        <c:axId val="69402528"/>
        <c:scaling>
          <c:orientation val="minMax"/>
        </c:scaling>
        <c:delete val="0"/>
        <c:axPos val="b"/>
        <c:majorGridlines>
          <c:spPr>
            <a:ln w="9525" cap="flat" cmpd="sng" algn="ctr">
              <a:solidFill>
                <a:sysClr val="window" lastClr="FFFFFF">
                  <a:lumMod val="65000"/>
                </a:sysClr>
              </a:solidFill>
              <a:prstDash val="dash"/>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sz="1000" baseline="0">
                    <a:solidFill>
                      <a:sysClr val="windowText" lastClr="000000"/>
                    </a:solidFill>
                    <a:latin typeface="Arial" panose="020B0604020202020204" pitchFamily="34" charset="0"/>
                  </a:rPr>
                  <a:t>Span, m</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184003904"/>
        <c:crosses val="autoZero"/>
        <c:crossBetween val="midCat"/>
      </c:valAx>
      <c:valAx>
        <c:axId val="184003904"/>
        <c:scaling>
          <c:orientation val="minMax"/>
        </c:scaling>
        <c:delete val="0"/>
        <c:axPos val="l"/>
        <c:majorGridlines>
          <c:spPr>
            <a:ln w="9525" cap="flat" cmpd="sng" algn="ctr">
              <a:solidFill>
                <a:sysClr val="window" lastClr="FFFFFF">
                  <a:lumMod val="65000"/>
                </a:sys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mn-cs"/>
                  </a:defRPr>
                </a:pPr>
                <a:r>
                  <a:rPr lang="en-CA" sz="1000" baseline="0">
                    <a:latin typeface="Arial" panose="020B0604020202020204" pitchFamily="34" charset="0"/>
                  </a:rPr>
                  <a:t>V</a:t>
                </a:r>
                <a:r>
                  <a:rPr lang="en-CA" sz="1000" baseline="-25000">
                    <a:latin typeface="Arial" panose="020B0604020202020204" pitchFamily="34" charset="0"/>
                  </a:rPr>
                  <a:t>y</a:t>
                </a:r>
                <a:r>
                  <a:rPr lang="en-CA" sz="1000" baseline="0">
                    <a:latin typeface="Arial" panose="020B0604020202020204" pitchFamily="34" charset="0"/>
                  </a:rPr>
                  <a:t>. kN</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crossAx val="69402528"/>
        <c:crosses val="autoZero"/>
        <c:crossBetween val="midCat"/>
      </c:valAx>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76EE9-7B50-4591-A68D-D67A3D81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4085</Words>
  <Characters>23286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The buildingSMART Canada BIM Strategy</vt:lpstr>
    </vt:vector>
  </TitlesOfParts>
  <Company>Associated Engineering</Company>
  <LinksUpToDate>false</LinksUpToDate>
  <CharactersWithSpaces>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buildingSMART Canada BIM Strategy</dc:title>
  <dc:creator>Eric Poirier</dc:creator>
  <cp:lastModifiedBy>Hanieh Pourmand</cp:lastModifiedBy>
  <cp:revision>4</cp:revision>
  <cp:lastPrinted>2017-01-16T18:57:00Z</cp:lastPrinted>
  <dcterms:created xsi:type="dcterms:W3CDTF">2018-07-26T15:30:00Z</dcterms:created>
  <dcterms:modified xsi:type="dcterms:W3CDTF">2018-07-26T17:19:00Z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zotero-version="5.0.51"&gt;&lt;session id="whChEKpE"/&gt;&lt;style id="http://www.zotero.org/styles/american-society-of-civil-engineers"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